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60055" w14:textId="77777777" w:rsidR="00A50BDC" w:rsidRDefault="00A50BDC" w:rsidP="00A50BDC">
      <w:pPr>
        <w:jc w:val="center"/>
        <w:rPr>
          <w:rFonts w:asciiTheme="majorHAnsi" w:hAnsiTheme="majorHAnsi"/>
          <w:b/>
          <w:sz w:val="40"/>
          <w:szCs w:val="40"/>
        </w:rPr>
      </w:pPr>
    </w:p>
    <w:p w14:paraId="20D77AB2" w14:textId="77777777" w:rsidR="00A50BDC" w:rsidRDefault="00A50BDC" w:rsidP="00A50BDC">
      <w:pPr>
        <w:jc w:val="center"/>
        <w:rPr>
          <w:rFonts w:asciiTheme="majorHAnsi" w:hAnsiTheme="majorHAnsi"/>
          <w:b/>
          <w:sz w:val="40"/>
          <w:szCs w:val="40"/>
        </w:rPr>
      </w:pPr>
    </w:p>
    <w:p w14:paraId="058AD2E3" w14:textId="385205A1" w:rsidR="00A50BDC" w:rsidRDefault="000D4F62" w:rsidP="00A50BDC">
      <w:pPr>
        <w:jc w:val="center"/>
        <w:rPr>
          <w:rFonts w:asciiTheme="majorHAnsi" w:hAnsiTheme="majorHAnsi"/>
          <w:b/>
          <w:sz w:val="40"/>
          <w:szCs w:val="40"/>
        </w:rPr>
      </w:pPr>
      <w:r>
        <w:rPr>
          <w:noProof/>
        </w:rPr>
        <w:drawing>
          <wp:inline distT="0" distB="0" distL="0" distR="0" wp14:anchorId="3DAEBC31" wp14:editId="7376814F">
            <wp:extent cx="5333999" cy="737870"/>
            <wp:effectExtent l="0" t="0" r="635" b="5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33999" cy="737870"/>
                    </a:xfrm>
                    <a:prstGeom prst="rect">
                      <a:avLst/>
                    </a:prstGeom>
                  </pic:spPr>
                </pic:pic>
              </a:graphicData>
            </a:graphic>
          </wp:inline>
        </w:drawing>
      </w:r>
    </w:p>
    <w:p w14:paraId="244BA7EA" w14:textId="77777777" w:rsidR="000D4F62" w:rsidRDefault="000D4F62" w:rsidP="00A50BDC">
      <w:pPr>
        <w:jc w:val="center"/>
        <w:rPr>
          <w:rFonts w:asciiTheme="majorHAnsi" w:hAnsiTheme="majorHAnsi"/>
          <w:b/>
          <w:sz w:val="40"/>
          <w:szCs w:val="40"/>
        </w:rPr>
      </w:pPr>
    </w:p>
    <w:p w14:paraId="0052F477" w14:textId="77777777" w:rsidR="00696D7C" w:rsidRDefault="00696D7C" w:rsidP="00A50BDC">
      <w:pPr>
        <w:jc w:val="center"/>
        <w:rPr>
          <w:rFonts w:asciiTheme="majorHAnsi" w:hAnsiTheme="majorHAnsi"/>
          <w:b/>
          <w:sz w:val="40"/>
          <w:szCs w:val="40"/>
        </w:rPr>
      </w:pPr>
    </w:p>
    <w:p w14:paraId="39C9083C" w14:textId="7663283F" w:rsidR="00A50BDC" w:rsidRDefault="00A50BDC" w:rsidP="00A50BDC">
      <w:pPr>
        <w:jc w:val="center"/>
        <w:rPr>
          <w:rFonts w:asciiTheme="majorHAnsi" w:hAnsiTheme="majorHAnsi"/>
          <w:b/>
          <w:sz w:val="40"/>
          <w:szCs w:val="40"/>
        </w:rPr>
      </w:pPr>
      <w:r>
        <w:rPr>
          <w:rFonts w:asciiTheme="majorHAnsi" w:hAnsiTheme="majorHAnsi"/>
          <w:b/>
          <w:sz w:val="40"/>
          <w:szCs w:val="40"/>
        </w:rPr>
        <w:t>Recommendat</w:t>
      </w:r>
      <w:r w:rsidR="00937521">
        <w:rPr>
          <w:rFonts w:asciiTheme="majorHAnsi" w:hAnsiTheme="majorHAnsi"/>
          <w:b/>
          <w:sz w:val="40"/>
          <w:szCs w:val="40"/>
        </w:rPr>
        <w:t xml:space="preserve">ions for a Global Framework </w:t>
      </w:r>
      <w:r w:rsidR="00062F7A">
        <w:rPr>
          <w:rFonts w:asciiTheme="majorHAnsi" w:hAnsiTheme="majorHAnsi"/>
          <w:b/>
          <w:sz w:val="40"/>
          <w:szCs w:val="40"/>
        </w:rPr>
        <w:t>to Support</w:t>
      </w:r>
      <w:r>
        <w:rPr>
          <w:rFonts w:asciiTheme="majorHAnsi" w:hAnsiTheme="majorHAnsi"/>
          <w:b/>
          <w:sz w:val="40"/>
          <w:szCs w:val="40"/>
        </w:rPr>
        <w:t xml:space="preserve"> Health Information Exchange</w:t>
      </w:r>
      <w:r w:rsidR="00C7704C">
        <w:rPr>
          <w:rFonts w:asciiTheme="majorHAnsi" w:hAnsiTheme="majorHAnsi"/>
          <w:b/>
          <w:sz w:val="40"/>
          <w:szCs w:val="40"/>
        </w:rPr>
        <w:t xml:space="preserve"> in Low- and Middle-Income Countries</w:t>
      </w:r>
    </w:p>
    <w:p w14:paraId="704DC15B" w14:textId="77777777" w:rsidR="00A50BDC" w:rsidRDefault="00A50BDC" w:rsidP="00A50BDC">
      <w:pPr>
        <w:jc w:val="center"/>
        <w:rPr>
          <w:rFonts w:asciiTheme="majorHAnsi" w:hAnsiTheme="majorHAnsi"/>
          <w:b/>
          <w:sz w:val="40"/>
          <w:szCs w:val="40"/>
        </w:rPr>
      </w:pPr>
    </w:p>
    <w:p w14:paraId="71FFBEE9" w14:textId="77777777" w:rsidR="00A50BDC" w:rsidRDefault="00A50BDC" w:rsidP="00A50BDC">
      <w:pPr>
        <w:rPr>
          <w:rFonts w:asciiTheme="majorHAnsi" w:hAnsiTheme="majorHAnsi"/>
          <w:b/>
          <w:sz w:val="40"/>
          <w:szCs w:val="40"/>
        </w:rPr>
      </w:pPr>
    </w:p>
    <w:p w14:paraId="7B4BDE69" w14:textId="77777777" w:rsidR="00A50BDC" w:rsidRDefault="00A50BDC" w:rsidP="00A50BDC">
      <w:pPr>
        <w:jc w:val="center"/>
        <w:rPr>
          <w:rFonts w:asciiTheme="majorHAnsi" w:hAnsiTheme="majorHAnsi"/>
          <w:b/>
          <w:sz w:val="28"/>
          <w:szCs w:val="28"/>
        </w:rPr>
      </w:pPr>
      <w:r>
        <w:rPr>
          <w:rFonts w:asciiTheme="majorHAnsi" w:hAnsiTheme="majorHAnsi"/>
          <w:b/>
          <w:sz w:val="28"/>
          <w:szCs w:val="28"/>
        </w:rPr>
        <w:t>Lauren Wu, MHS</w:t>
      </w:r>
    </w:p>
    <w:p w14:paraId="28A06665" w14:textId="3500FFA9" w:rsidR="00A50BDC" w:rsidRDefault="00AB41C0" w:rsidP="00A50BDC">
      <w:pPr>
        <w:jc w:val="center"/>
        <w:rPr>
          <w:rFonts w:asciiTheme="majorHAnsi" w:hAnsiTheme="majorHAnsi"/>
          <w:b/>
          <w:sz w:val="28"/>
          <w:szCs w:val="28"/>
        </w:rPr>
      </w:pPr>
      <w:r>
        <w:rPr>
          <w:rFonts w:asciiTheme="majorHAnsi" w:hAnsiTheme="majorHAnsi"/>
          <w:b/>
          <w:sz w:val="28"/>
          <w:szCs w:val="28"/>
        </w:rPr>
        <w:t xml:space="preserve">Researcher (Detailee), </w:t>
      </w:r>
      <w:r w:rsidR="004C7ADD">
        <w:rPr>
          <w:rFonts w:asciiTheme="majorHAnsi" w:hAnsiTheme="majorHAnsi"/>
          <w:b/>
          <w:sz w:val="28"/>
          <w:szCs w:val="28"/>
        </w:rPr>
        <w:t>Regenstrief Institute, Global Health Informatics</w:t>
      </w:r>
    </w:p>
    <w:p w14:paraId="2C84FB19" w14:textId="07338B0D" w:rsidR="00A50BDC" w:rsidRDefault="00D75A78" w:rsidP="00A50BDC">
      <w:pPr>
        <w:jc w:val="center"/>
        <w:rPr>
          <w:rFonts w:asciiTheme="majorHAnsi" w:hAnsiTheme="majorHAnsi"/>
          <w:b/>
          <w:sz w:val="28"/>
          <w:szCs w:val="28"/>
        </w:rPr>
      </w:pPr>
      <w:r>
        <w:rPr>
          <w:rFonts w:asciiTheme="majorHAnsi" w:hAnsiTheme="majorHAnsi"/>
          <w:b/>
          <w:sz w:val="28"/>
          <w:szCs w:val="28"/>
        </w:rPr>
        <w:t xml:space="preserve">Draft Report Originally Delivered on </w:t>
      </w:r>
      <w:r w:rsidR="00A50BDC">
        <w:rPr>
          <w:rFonts w:asciiTheme="majorHAnsi" w:hAnsiTheme="majorHAnsi"/>
          <w:b/>
          <w:sz w:val="28"/>
          <w:szCs w:val="28"/>
        </w:rPr>
        <w:t>April 1, 2016</w:t>
      </w:r>
    </w:p>
    <w:p w14:paraId="769F3D5B" w14:textId="77777777" w:rsidR="002951CD" w:rsidRDefault="002951CD" w:rsidP="00A50BDC">
      <w:pPr>
        <w:jc w:val="center"/>
        <w:rPr>
          <w:rFonts w:asciiTheme="majorHAnsi" w:hAnsiTheme="majorHAnsi"/>
          <w:b/>
          <w:sz w:val="28"/>
          <w:szCs w:val="28"/>
        </w:rPr>
      </w:pPr>
    </w:p>
    <w:p w14:paraId="5601BC60" w14:textId="455EEDD8" w:rsidR="002951CD" w:rsidRPr="00A50BDC" w:rsidRDefault="002951CD" w:rsidP="00A50BDC">
      <w:pPr>
        <w:jc w:val="center"/>
        <w:rPr>
          <w:rFonts w:asciiTheme="majorHAnsi" w:hAnsiTheme="majorHAnsi"/>
          <w:b/>
          <w:sz w:val="28"/>
          <w:szCs w:val="28"/>
        </w:rPr>
        <w:sectPr w:rsidR="002951CD" w:rsidRPr="00A50BDC">
          <w:headerReference w:type="even" r:id="rId9"/>
          <w:headerReference w:type="default" r:id="rId10"/>
          <w:footerReference w:type="default" r:id="rId11"/>
          <w:headerReference w:type="first" r:id="rId12"/>
          <w:footnotePr>
            <w:numFmt w:val="lowerLetter"/>
          </w:footnotePr>
          <w:pgSz w:w="12240" w:h="15840"/>
          <w:pgMar w:top="1440" w:right="1440" w:bottom="1440" w:left="1440" w:header="720" w:footer="720" w:gutter="0"/>
          <w:cols w:space="720"/>
          <w:docGrid w:linePitch="360"/>
        </w:sectPr>
      </w:pPr>
      <w:r>
        <w:rPr>
          <w:rFonts w:asciiTheme="majorHAnsi" w:hAnsiTheme="majorHAnsi"/>
          <w:b/>
          <w:sz w:val="28"/>
          <w:szCs w:val="28"/>
        </w:rPr>
        <w:fldChar w:fldCharType="begin"/>
      </w:r>
      <w:r>
        <w:rPr>
          <w:rFonts w:asciiTheme="majorHAnsi" w:hAnsiTheme="majorHAnsi"/>
          <w:b/>
          <w:sz w:val="28"/>
          <w:szCs w:val="28"/>
        </w:rPr>
        <w:instrText xml:space="preserve"> DATE \@ "MMMM d, yyyy" </w:instrText>
      </w:r>
      <w:r>
        <w:rPr>
          <w:rFonts w:asciiTheme="majorHAnsi" w:hAnsiTheme="majorHAnsi"/>
          <w:b/>
          <w:sz w:val="28"/>
          <w:szCs w:val="28"/>
        </w:rPr>
        <w:fldChar w:fldCharType="separate"/>
      </w:r>
      <w:r w:rsidR="004642C0">
        <w:rPr>
          <w:rFonts w:asciiTheme="majorHAnsi" w:hAnsiTheme="majorHAnsi"/>
          <w:b/>
          <w:noProof/>
          <w:sz w:val="28"/>
          <w:szCs w:val="28"/>
        </w:rPr>
        <w:t>November 9, 2016</w:t>
      </w:r>
      <w:r>
        <w:rPr>
          <w:rFonts w:asciiTheme="majorHAnsi" w:hAnsiTheme="majorHAnsi"/>
          <w:b/>
          <w:sz w:val="28"/>
          <w:szCs w:val="28"/>
        </w:rPr>
        <w:fldChar w:fldCharType="end"/>
      </w:r>
      <w:bookmarkStart w:id="0" w:name="_GoBack"/>
      <w:bookmarkEnd w:id="0"/>
    </w:p>
    <w:p w14:paraId="04A1AFB9" w14:textId="77777777" w:rsidR="00DA0A86" w:rsidRPr="003E688F" w:rsidRDefault="00DA0A86" w:rsidP="00DA0A86">
      <w:pPr>
        <w:jc w:val="center"/>
        <w:rPr>
          <w:rFonts w:asciiTheme="majorHAnsi" w:hAnsiTheme="majorHAnsi"/>
          <w:b/>
          <w:sz w:val="28"/>
          <w:szCs w:val="28"/>
        </w:rPr>
      </w:pPr>
      <w:r w:rsidRPr="003E688F">
        <w:rPr>
          <w:rFonts w:asciiTheme="majorHAnsi" w:hAnsiTheme="majorHAnsi"/>
          <w:b/>
          <w:sz w:val="28"/>
          <w:szCs w:val="28"/>
        </w:rPr>
        <w:lastRenderedPageBreak/>
        <w:t>Table of Contents</w:t>
      </w:r>
    </w:p>
    <w:p w14:paraId="49DF042E" w14:textId="77777777" w:rsidR="00DA0A86" w:rsidRPr="00DA0A86" w:rsidRDefault="00DA0A86" w:rsidP="00DA0A86">
      <w:pPr>
        <w:jc w:val="center"/>
        <w:rPr>
          <w:rFonts w:asciiTheme="majorHAnsi" w:hAnsiTheme="majorHAnsi"/>
        </w:rPr>
      </w:pPr>
    </w:p>
    <w:bookmarkStart w:id="1" w:name="_Acknowledgements_&amp;_Disclaimer"/>
    <w:bookmarkEnd w:id="1"/>
    <w:p w14:paraId="0BB0267D" w14:textId="061533FA" w:rsidR="00C624DD" w:rsidRPr="00A062EE" w:rsidRDefault="00C624DD" w:rsidP="00A27F18">
      <w:pPr>
        <w:pStyle w:val="Heading1"/>
        <w:tabs>
          <w:tab w:val="left" w:pos="6660"/>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_Ref445201570 \h </w:instrText>
      </w:r>
      <w:r w:rsidR="00A062EE">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Acknowledgements &amp; Disclaimer</w:t>
      </w:r>
      <w:r w:rsidRPr="00A062EE">
        <w:rPr>
          <w:sz w:val="24"/>
          <w:szCs w:val="24"/>
        </w:rPr>
        <w:fldChar w:fldCharType="end"/>
      </w:r>
      <w:r w:rsidR="00937E44">
        <w:rPr>
          <w:sz w:val="24"/>
          <w:szCs w:val="24"/>
        </w:rPr>
        <w:t xml:space="preserve"> . . . . . . . . . . . . . . . . . . . . . . . . . . . . . . . . . . . . . . </w:t>
      </w:r>
      <w:r w:rsidR="008762CF">
        <w:rPr>
          <w:sz w:val="24"/>
          <w:szCs w:val="24"/>
        </w:rPr>
        <w:t>.</w:t>
      </w:r>
      <w:r w:rsidR="008762CF">
        <w:rPr>
          <w:sz w:val="24"/>
          <w:szCs w:val="24"/>
        </w:rPr>
        <w:tab/>
        <w:t>3</w:t>
      </w:r>
    </w:p>
    <w:p w14:paraId="7FC151B6" w14:textId="0CAEFDA9" w:rsidR="00E97F7F" w:rsidRPr="001D4067" w:rsidRDefault="001D4067" w:rsidP="00A27F18">
      <w:pPr>
        <w:pStyle w:val="Heading1"/>
        <w:tabs>
          <w:tab w:val="right" w:pos="9270"/>
        </w:tabs>
        <w:spacing w:before="0" w:after="40"/>
        <w:ind w:left="0"/>
        <w:rPr>
          <w:sz w:val="24"/>
          <w:szCs w:val="24"/>
        </w:rPr>
      </w:pPr>
      <w:r w:rsidRPr="001D4067">
        <w:rPr>
          <w:sz w:val="24"/>
          <w:szCs w:val="24"/>
        </w:rPr>
        <w:fldChar w:fldCharType="begin"/>
      </w:r>
      <w:r w:rsidRPr="001D4067">
        <w:rPr>
          <w:sz w:val="24"/>
          <w:szCs w:val="24"/>
        </w:rPr>
        <w:instrText xml:space="preserve"> REF _Ref445892456 \h  \* MERGEFORMAT </w:instrText>
      </w:r>
      <w:r w:rsidRPr="001D4067">
        <w:rPr>
          <w:sz w:val="24"/>
          <w:szCs w:val="24"/>
        </w:rPr>
      </w:r>
      <w:r w:rsidRPr="001D4067">
        <w:rPr>
          <w:sz w:val="24"/>
          <w:szCs w:val="24"/>
        </w:rPr>
        <w:fldChar w:fldCharType="separate"/>
      </w:r>
      <w:r w:rsidR="009427C5" w:rsidRPr="009427C5">
        <w:rPr>
          <w:sz w:val="24"/>
          <w:szCs w:val="24"/>
        </w:rPr>
        <w:t>Introduction</w:t>
      </w:r>
      <w:r w:rsidRPr="001D4067">
        <w:rPr>
          <w:sz w:val="24"/>
          <w:szCs w:val="24"/>
        </w:rPr>
        <w:fldChar w:fldCharType="end"/>
      </w:r>
      <w:r w:rsidR="00662E1C">
        <w:rPr>
          <w:sz w:val="24"/>
          <w:szCs w:val="24"/>
        </w:rPr>
        <w:t xml:space="preserve"> . . . . . . . . . . . . . . . . . . . . . . . . . . . . . . . . . . . . . . . . . . . . . . . . . . . . . . . . . . . . </w:t>
      </w:r>
      <w:r w:rsidR="00A27F18">
        <w:rPr>
          <w:sz w:val="24"/>
          <w:szCs w:val="24"/>
        </w:rPr>
        <w:t>4</w:t>
      </w:r>
    </w:p>
    <w:p w14:paraId="3668BE2F" w14:textId="1BA7713A" w:rsidR="00E97F7F" w:rsidRPr="00A062EE" w:rsidRDefault="00A062EE"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_Ref445201917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Methods</w:t>
      </w:r>
      <w:r w:rsidRPr="00A062EE">
        <w:rPr>
          <w:sz w:val="24"/>
          <w:szCs w:val="24"/>
        </w:rPr>
        <w:fldChar w:fldCharType="end"/>
      </w:r>
      <w:r w:rsidR="00A27F18">
        <w:rPr>
          <w:sz w:val="24"/>
          <w:szCs w:val="24"/>
        </w:rPr>
        <w:t xml:space="preserve"> . . . . . . . . . . . . . . . . . . . . . . . . . . . . . . . . . . . . . . . . . . . . . . . . . . . . . . . . . . . . . . . . </w:t>
      </w:r>
      <w:r w:rsidR="00A27F18">
        <w:rPr>
          <w:sz w:val="24"/>
          <w:szCs w:val="24"/>
        </w:rPr>
        <w:tab/>
        <w:t>6</w:t>
      </w:r>
    </w:p>
    <w:p w14:paraId="6B54EFB5" w14:textId="6264B963" w:rsidR="00E97F7F" w:rsidRPr="00A062EE" w:rsidRDefault="00A062EE"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_Ref445201953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Recommendations for Key Areas of a Global Framework</w:t>
      </w:r>
      <w:r w:rsidRPr="00A062EE">
        <w:rPr>
          <w:sz w:val="24"/>
          <w:szCs w:val="24"/>
        </w:rPr>
        <w:fldChar w:fldCharType="end"/>
      </w:r>
      <w:r w:rsidR="00A27F18">
        <w:rPr>
          <w:sz w:val="24"/>
          <w:szCs w:val="24"/>
        </w:rPr>
        <w:t xml:space="preserve"> . . . . . . . . . . . . . . . .</w:t>
      </w:r>
      <w:r w:rsidR="00A27F18">
        <w:rPr>
          <w:sz w:val="24"/>
          <w:szCs w:val="24"/>
        </w:rPr>
        <w:tab/>
        <w:t>8</w:t>
      </w:r>
      <w:r w:rsidR="00A27F18">
        <w:rPr>
          <w:sz w:val="24"/>
          <w:szCs w:val="24"/>
        </w:rPr>
        <w:tab/>
      </w:r>
    </w:p>
    <w:p w14:paraId="347CDC67" w14:textId="31B43168" w:rsidR="00E97F7F"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_Ref445201967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1: Vision &amp; Strategy</w:t>
      </w:r>
      <w:r w:rsidRPr="00A062EE">
        <w:rPr>
          <w:sz w:val="24"/>
          <w:szCs w:val="24"/>
        </w:rPr>
        <w:fldChar w:fldCharType="end"/>
      </w:r>
      <w:r w:rsidR="00A27F18">
        <w:rPr>
          <w:sz w:val="24"/>
          <w:szCs w:val="24"/>
        </w:rPr>
        <w:t xml:space="preserve"> . . . . . . . . . . . . . . . . . . . . . . . . . . . . . . . . . . . . . . . . . . . . . . . . . </w:t>
      </w:r>
      <w:r w:rsidR="00A27F18">
        <w:rPr>
          <w:sz w:val="24"/>
          <w:szCs w:val="24"/>
        </w:rPr>
        <w:tab/>
      </w:r>
      <w:r w:rsidR="00A27F18" w:rsidRPr="00DE4EF0">
        <w:rPr>
          <w:color w:val="365F91" w:themeColor="accent1" w:themeShade="BF"/>
          <w:sz w:val="24"/>
          <w:szCs w:val="24"/>
        </w:rPr>
        <w:t>11</w:t>
      </w:r>
    </w:p>
    <w:p w14:paraId="352039C1" w14:textId="44104A10" w:rsidR="00E97F7F"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_Ref445201976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2: Governance</w:t>
      </w:r>
      <w:r w:rsidRPr="00A062EE">
        <w:rPr>
          <w:sz w:val="24"/>
          <w:szCs w:val="24"/>
        </w:rPr>
        <w:fldChar w:fldCharType="end"/>
      </w:r>
      <w:r w:rsidR="00A27F18">
        <w:rPr>
          <w:sz w:val="24"/>
          <w:szCs w:val="24"/>
        </w:rPr>
        <w:t xml:space="preserve"> . . . . . . . . . . . . . . . . . . . . . . . . . . . . . . . . . . . . . . . . . . . . . . . . . </w:t>
      </w:r>
      <w:r w:rsidR="00EA5190">
        <w:rPr>
          <w:sz w:val="24"/>
          <w:szCs w:val="24"/>
        </w:rPr>
        <w:t xml:space="preserve">. . . . . </w:t>
      </w:r>
      <w:r w:rsidR="00A27F18">
        <w:rPr>
          <w:sz w:val="24"/>
          <w:szCs w:val="24"/>
        </w:rPr>
        <w:tab/>
      </w:r>
      <w:r w:rsidR="00A27F18" w:rsidRPr="00DE4EF0">
        <w:rPr>
          <w:color w:val="365F91" w:themeColor="accent1" w:themeShade="BF"/>
          <w:sz w:val="24"/>
          <w:szCs w:val="24"/>
        </w:rPr>
        <w:t>15</w:t>
      </w:r>
      <w:r w:rsidR="00A27F18">
        <w:rPr>
          <w:sz w:val="24"/>
          <w:szCs w:val="24"/>
        </w:rPr>
        <w:tab/>
      </w:r>
    </w:p>
    <w:p w14:paraId="30546EE4" w14:textId="4702CB9B" w:rsidR="00B6460A" w:rsidRPr="00B46680" w:rsidRDefault="00B46680" w:rsidP="00A27F18">
      <w:pPr>
        <w:pStyle w:val="Heading4"/>
        <w:tabs>
          <w:tab w:val="right" w:pos="9270"/>
        </w:tabs>
        <w:spacing w:before="0" w:after="40"/>
        <w:ind w:left="720"/>
        <w:rPr>
          <w:color w:val="95B3D7" w:themeColor="accent1" w:themeTint="99"/>
        </w:rPr>
      </w:pPr>
      <w:r w:rsidRPr="00B46680">
        <w:rPr>
          <w:color w:val="95B3D7" w:themeColor="accent1" w:themeTint="99"/>
        </w:rPr>
        <w:fldChar w:fldCharType="begin"/>
      </w:r>
      <w:r w:rsidRPr="00B46680">
        <w:rPr>
          <w:color w:val="95B3D7" w:themeColor="accent1" w:themeTint="99"/>
        </w:rPr>
        <w:instrText xml:space="preserve"> REF _Ref445721424 \h  \* MERGEFORMAT </w:instrText>
      </w:r>
      <w:r w:rsidRPr="00B46680">
        <w:rPr>
          <w:color w:val="95B3D7" w:themeColor="accent1" w:themeTint="99"/>
        </w:rPr>
      </w:r>
      <w:r w:rsidRPr="00B46680">
        <w:rPr>
          <w:color w:val="95B3D7" w:themeColor="accent1" w:themeTint="99"/>
        </w:rPr>
        <w:fldChar w:fldCharType="separate"/>
      </w:r>
      <w:r w:rsidR="009427C5" w:rsidRPr="009427C5">
        <w:rPr>
          <w:color w:val="95B3D7" w:themeColor="accent1" w:themeTint="99"/>
        </w:rPr>
        <w:t>Best Practices Feature #1 – HIE Governance Framework in the Philippines</w:t>
      </w:r>
      <w:r w:rsidRPr="00B46680">
        <w:rPr>
          <w:color w:val="95B3D7" w:themeColor="accent1" w:themeTint="99"/>
        </w:rPr>
        <w:fldChar w:fldCharType="end"/>
      </w:r>
      <w:r w:rsidR="008E5131">
        <w:rPr>
          <w:color w:val="95B3D7" w:themeColor="accent1" w:themeTint="99"/>
        </w:rPr>
        <w:t xml:space="preserve"> </w:t>
      </w:r>
      <w:r w:rsidR="00EA5190">
        <w:rPr>
          <w:i w:val="0"/>
          <w:color w:val="95B3D7" w:themeColor="accent1" w:themeTint="99"/>
        </w:rPr>
        <w:t xml:space="preserve">. . </w:t>
      </w:r>
      <w:r w:rsidR="00B92D1B">
        <w:rPr>
          <w:i w:val="0"/>
          <w:color w:val="95B3D7" w:themeColor="accent1" w:themeTint="99"/>
        </w:rPr>
        <w:t>.</w:t>
      </w:r>
      <w:r w:rsidR="00B92D1B">
        <w:rPr>
          <w:color w:val="95B3D7" w:themeColor="accent1" w:themeTint="99"/>
        </w:rPr>
        <w:tab/>
      </w:r>
      <w:r w:rsidR="008E5131" w:rsidRPr="00DE4EF0">
        <w:rPr>
          <w:i w:val="0"/>
          <w:color w:val="365F91" w:themeColor="accent1" w:themeShade="BF"/>
        </w:rPr>
        <w:t>1</w:t>
      </w:r>
      <w:r w:rsidR="00B92D1B">
        <w:rPr>
          <w:i w:val="0"/>
          <w:color w:val="365F91" w:themeColor="accent1" w:themeShade="BF"/>
        </w:rPr>
        <w:t>8</w:t>
      </w:r>
      <w:r w:rsidR="008E5131">
        <w:rPr>
          <w:color w:val="95B3D7" w:themeColor="accent1" w:themeTint="99"/>
        </w:rPr>
        <w:tab/>
      </w:r>
    </w:p>
    <w:p w14:paraId="322EE923" w14:textId="47E25439" w:rsidR="00942825"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_Ref445201982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3: HIE Policies &amp; Procedures – General</w:t>
      </w:r>
      <w:r w:rsidRPr="00A062EE">
        <w:rPr>
          <w:sz w:val="24"/>
          <w:szCs w:val="24"/>
        </w:rPr>
        <w:fldChar w:fldCharType="end"/>
      </w:r>
      <w:r w:rsidR="00942825" w:rsidRPr="00A062EE">
        <w:rPr>
          <w:sz w:val="24"/>
          <w:szCs w:val="24"/>
        </w:rPr>
        <w:t xml:space="preserve"> </w:t>
      </w:r>
      <w:r w:rsidR="00A302BF">
        <w:rPr>
          <w:sz w:val="24"/>
          <w:szCs w:val="24"/>
        </w:rPr>
        <w:t xml:space="preserve">. . . . . . . . . . . . . . . . . . . . . </w:t>
      </w:r>
      <w:r w:rsidR="004D29D5">
        <w:rPr>
          <w:sz w:val="24"/>
          <w:szCs w:val="24"/>
        </w:rPr>
        <w:t>. . . . . . . . .</w:t>
      </w:r>
      <w:r w:rsidR="00B92D1B">
        <w:rPr>
          <w:sz w:val="24"/>
          <w:szCs w:val="24"/>
        </w:rPr>
        <w:t xml:space="preserve"> </w:t>
      </w:r>
      <w:r w:rsidR="00B92D1B">
        <w:rPr>
          <w:sz w:val="24"/>
          <w:szCs w:val="24"/>
        </w:rPr>
        <w:tab/>
      </w:r>
      <w:r w:rsidR="00A302BF" w:rsidRPr="00DE4EF0">
        <w:rPr>
          <w:color w:val="365F91" w:themeColor="accent1" w:themeShade="BF"/>
          <w:sz w:val="24"/>
          <w:szCs w:val="24"/>
        </w:rPr>
        <w:t>2</w:t>
      </w:r>
      <w:r w:rsidR="00B92D1B">
        <w:rPr>
          <w:color w:val="365F91" w:themeColor="accent1" w:themeShade="BF"/>
          <w:sz w:val="24"/>
          <w:szCs w:val="24"/>
        </w:rPr>
        <w:t>1</w:t>
      </w:r>
      <w:r w:rsidR="00A302BF">
        <w:rPr>
          <w:sz w:val="24"/>
          <w:szCs w:val="24"/>
        </w:rPr>
        <w:tab/>
      </w:r>
    </w:p>
    <w:p w14:paraId="4CB2A20E" w14:textId="48E36AB6" w:rsidR="00B6460A" w:rsidRPr="00A505D0" w:rsidRDefault="00A505D0" w:rsidP="00A27F18">
      <w:pPr>
        <w:pStyle w:val="Heading4"/>
        <w:tabs>
          <w:tab w:val="right" w:pos="9270"/>
        </w:tabs>
        <w:spacing w:before="0" w:after="40"/>
        <w:ind w:left="720"/>
        <w:rPr>
          <w:color w:val="95B3D7" w:themeColor="accent1" w:themeTint="99"/>
        </w:rPr>
      </w:pPr>
      <w:r w:rsidRPr="00A505D0">
        <w:rPr>
          <w:color w:val="95B3D7" w:themeColor="accent1" w:themeTint="99"/>
        </w:rPr>
        <w:fldChar w:fldCharType="begin"/>
      </w:r>
      <w:r w:rsidRPr="00A505D0">
        <w:rPr>
          <w:color w:val="95B3D7" w:themeColor="accent1" w:themeTint="99"/>
        </w:rPr>
        <w:instrText xml:space="preserve"> REF _Ref445732467 \h  \* MERGEFORMAT </w:instrText>
      </w:r>
      <w:r w:rsidRPr="00A505D0">
        <w:rPr>
          <w:color w:val="95B3D7" w:themeColor="accent1" w:themeTint="99"/>
        </w:rPr>
      </w:r>
      <w:r w:rsidRPr="00A505D0">
        <w:rPr>
          <w:color w:val="95B3D7" w:themeColor="accent1" w:themeTint="99"/>
        </w:rPr>
        <w:fldChar w:fldCharType="separate"/>
      </w:r>
      <w:r w:rsidR="009427C5" w:rsidRPr="009427C5">
        <w:rPr>
          <w:color w:val="95B3D7" w:themeColor="accent1" w:themeTint="99"/>
        </w:rPr>
        <w:t xml:space="preserve">Best Practices Feature #2 – Policies for eHealth and HIE in </w:t>
      </w:r>
      <w:r w:rsidRPr="00A505D0">
        <w:rPr>
          <w:color w:val="95B3D7" w:themeColor="accent1" w:themeTint="99"/>
        </w:rPr>
        <w:fldChar w:fldCharType="end"/>
      </w:r>
      <w:r w:rsidR="001616A0">
        <w:rPr>
          <w:i w:val="0"/>
          <w:color w:val="95B3D7" w:themeColor="accent1" w:themeTint="99"/>
        </w:rPr>
        <w:t>Peru</w:t>
      </w:r>
      <w:r w:rsidR="00515CE0" w:rsidRPr="00515CE0">
        <w:rPr>
          <w:i w:val="0"/>
          <w:color w:val="95B3D7" w:themeColor="accent1" w:themeTint="99"/>
        </w:rPr>
        <w:t>. . .</w:t>
      </w:r>
      <w:r w:rsidR="00515CE0">
        <w:rPr>
          <w:i w:val="0"/>
          <w:color w:val="95B3D7" w:themeColor="accent1" w:themeTint="99"/>
        </w:rPr>
        <w:t xml:space="preserve"> </w:t>
      </w:r>
      <w:r w:rsidR="00515CE0" w:rsidRPr="00515CE0">
        <w:rPr>
          <w:i w:val="0"/>
          <w:color w:val="95B3D7" w:themeColor="accent1" w:themeTint="99"/>
        </w:rPr>
        <w:t>. . .</w:t>
      </w:r>
      <w:r w:rsidR="00515CE0">
        <w:rPr>
          <w:i w:val="0"/>
          <w:color w:val="95B3D7" w:themeColor="accent1" w:themeTint="99"/>
        </w:rPr>
        <w:t xml:space="preserve"> </w:t>
      </w:r>
      <w:r w:rsidR="00515CE0" w:rsidRPr="00515CE0">
        <w:rPr>
          <w:i w:val="0"/>
          <w:color w:val="95B3D7" w:themeColor="accent1" w:themeTint="99"/>
        </w:rPr>
        <w:t>. . .</w:t>
      </w:r>
      <w:r w:rsidR="00B92D1B">
        <w:rPr>
          <w:i w:val="0"/>
          <w:color w:val="95B3D7" w:themeColor="accent1" w:themeTint="99"/>
        </w:rPr>
        <w:t xml:space="preserve"> . </w:t>
      </w:r>
      <w:r w:rsidR="001616A0">
        <w:rPr>
          <w:i w:val="0"/>
          <w:color w:val="95B3D7" w:themeColor="accent1" w:themeTint="99"/>
        </w:rPr>
        <w:t xml:space="preserve">. . . </w:t>
      </w:r>
      <w:r w:rsidR="00090D2C">
        <w:rPr>
          <w:i w:val="0"/>
          <w:color w:val="95B3D7" w:themeColor="accent1" w:themeTint="99"/>
        </w:rPr>
        <w:tab/>
      </w:r>
      <w:r w:rsidR="00515CE0" w:rsidRPr="00DE4EF0">
        <w:rPr>
          <w:i w:val="0"/>
          <w:color w:val="365F91" w:themeColor="accent1" w:themeShade="BF"/>
        </w:rPr>
        <w:t>2</w:t>
      </w:r>
      <w:r w:rsidR="00B92D1B">
        <w:rPr>
          <w:i w:val="0"/>
          <w:color w:val="365F91" w:themeColor="accent1" w:themeShade="BF"/>
        </w:rPr>
        <w:t>3</w:t>
      </w:r>
      <w:r w:rsidR="00515CE0">
        <w:rPr>
          <w:color w:val="95B3D7" w:themeColor="accent1" w:themeTint="99"/>
        </w:rPr>
        <w:t xml:space="preserve"> </w:t>
      </w:r>
    </w:p>
    <w:p w14:paraId="7BFFD1B8" w14:textId="7BFB3B66" w:rsidR="00942825"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_Ref445201990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4: HIE Policies &amp; Procedures – Standards &amp; Interoperability</w:t>
      </w:r>
      <w:r w:rsidRPr="00A062EE">
        <w:rPr>
          <w:sz w:val="24"/>
          <w:szCs w:val="24"/>
        </w:rPr>
        <w:fldChar w:fldCharType="end"/>
      </w:r>
      <w:r w:rsidR="00B92D1B">
        <w:rPr>
          <w:sz w:val="24"/>
          <w:szCs w:val="24"/>
        </w:rPr>
        <w:t xml:space="preserve"> . . . . . . . . .</w:t>
      </w:r>
      <w:r w:rsidR="00B92D1B">
        <w:rPr>
          <w:sz w:val="24"/>
          <w:szCs w:val="24"/>
        </w:rPr>
        <w:tab/>
      </w:r>
      <w:r w:rsidR="004D29D5" w:rsidRPr="00DE4EF0">
        <w:rPr>
          <w:color w:val="365F91" w:themeColor="accent1" w:themeShade="BF"/>
          <w:sz w:val="24"/>
          <w:szCs w:val="24"/>
        </w:rPr>
        <w:t>2</w:t>
      </w:r>
      <w:r w:rsidR="00B92D1B">
        <w:rPr>
          <w:color w:val="365F91" w:themeColor="accent1" w:themeShade="BF"/>
          <w:sz w:val="24"/>
          <w:szCs w:val="24"/>
        </w:rPr>
        <w:t>6</w:t>
      </w:r>
      <w:r w:rsidR="004D29D5">
        <w:rPr>
          <w:sz w:val="24"/>
          <w:szCs w:val="24"/>
        </w:rPr>
        <w:t xml:space="preserve"> </w:t>
      </w:r>
    </w:p>
    <w:p w14:paraId="201D697F" w14:textId="0308C03A" w:rsidR="00942825" w:rsidRPr="00A062EE" w:rsidRDefault="00A062EE" w:rsidP="00A27F18">
      <w:pPr>
        <w:pStyle w:val="Heading4"/>
        <w:tabs>
          <w:tab w:val="right" w:pos="9270"/>
        </w:tabs>
        <w:spacing w:before="0" w:after="40"/>
        <w:ind w:left="720"/>
        <w:rPr>
          <w:color w:val="95B3D7" w:themeColor="accent1" w:themeTint="99"/>
        </w:rPr>
      </w:pPr>
      <w:r w:rsidRPr="00A062EE">
        <w:rPr>
          <w:color w:val="95B3D7" w:themeColor="accent1" w:themeTint="99"/>
        </w:rPr>
        <w:fldChar w:fldCharType="begin"/>
      </w:r>
      <w:r w:rsidRPr="00A062EE">
        <w:rPr>
          <w:color w:val="95B3D7" w:themeColor="accent1" w:themeTint="99"/>
        </w:rPr>
        <w:instrText xml:space="preserve"> REF _Ref445202059 \h  \* MERGEFORMAT </w:instrText>
      </w:r>
      <w:r w:rsidRPr="00A062EE">
        <w:rPr>
          <w:color w:val="95B3D7" w:themeColor="accent1" w:themeTint="99"/>
        </w:rPr>
      </w:r>
      <w:r w:rsidRPr="00A062EE">
        <w:rPr>
          <w:color w:val="95B3D7" w:themeColor="accent1" w:themeTint="99"/>
        </w:rPr>
        <w:fldChar w:fldCharType="separate"/>
      </w:r>
      <w:r w:rsidR="009427C5" w:rsidRPr="009427C5">
        <w:rPr>
          <w:color w:val="95B3D7" w:themeColor="accent1" w:themeTint="99"/>
        </w:rPr>
        <w:t>Best Practices Feature #3 – Standards and Guidelines in Kenya</w:t>
      </w:r>
      <w:r w:rsidRPr="00A062EE">
        <w:rPr>
          <w:color w:val="95B3D7" w:themeColor="accent1" w:themeTint="99"/>
        </w:rPr>
        <w:fldChar w:fldCharType="end"/>
      </w:r>
      <w:r w:rsidR="000E21AD">
        <w:rPr>
          <w:color w:val="95B3D7" w:themeColor="accent1" w:themeTint="99"/>
        </w:rPr>
        <w:t xml:space="preserve"> </w:t>
      </w:r>
      <w:r w:rsidR="000E21AD" w:rsidRPr="00515CE0">
        <w:rPr>
          <w:i w:val="0"/>
          <w:color w:val="95B3D7" w:themeColor="accent1" w:themeTint="99"/>
        </w:rPr>
        <w:t>. . .</w:t>
      </w:r>
      <w:r w:rsidR="000E21AD">
        <w:rPr>
          <w:i w:val="0"/>
          <w:color w:val="95B3D7" w:themeColor="accent1" w:themeTint="99"/>
        </w:rPr>
        <w:t xml:space="preserve"> </w:t>
      </w:r>
      <w:r w:rsidR="000E21AD" w:rsidRPr="00515CE0">
        <w:rPr>
          <w:i w:val="0"/>
          <w:color w:val="95B3D7" w:themeColor="accent1" w:themeTint="99"/>
        </w:rPr>
        <w:t>. . .</w:t>
      </w:r>
      <w:r w:rsidR="000E21AD">
        <w:rPr>
          <w:i w:val="0"/>
          <w:color w:val="95B3D7" w:themeColor="accent1" w:themeTint="99"/>
        </w:rPr>
        <w:t xml:space="preserve"> </w:t>
      </w:r>
      <w:r w:rsidR="000E21AD" w:rsidRPr="00515CE0">
        <w:rPr>
          <w:i w:val="0"/>
          <w:color w:val="95B3D7" w:themeColor="accent1" w:themeTint="99"/>
        </w:rPr>
        <w:t>. . .</w:t>
      </w:r>
      <w:r w:rsidR="000E21AD">
        <w:rPr>
          <w:i w:val="0"/>
          <w:color w:val="95B3D7" w:themeColor="accent1" w:themeTint="99"/>
        </w:rPr>
        <w:t xml:space="preserve"> </w:t>
      </w:r>
      <w:r w:rsidR="000E21AD" w:rsidRPr="00515CE0">
        <w:rPr>
          <w:i w:val="0"/>
          <w:color w:val="95B3D7" w:themeColor="accent1" w:themeTint="99"/>
        </w:rPr>
        <w:t>. . .</w:t>
      </w:r>
      <w:r w:rsidR="000E21AD">
        <w:rPr>
          <w:i w:val="0"/>
          <w:color w:val="95B3D7" w:themeColor="accent1" w:themeTint="99"/>
        </w:rPr>
        <w:t xml:space="preserve"> .</w:t>
      </w:r>
      <w:r w:rsidR="00EA5190">
        <w:rPr>
          <w:i w:val="0"/>
          <w:color w:val="95B3D7" w:themeColor="accent1" w:themeTint="99"/>
        </w:rPr>
        <w:t xml:space="preserve"> </w:t>
      </w:r>
      <w:r w:rsidR="00B92D1B">
        <w:rPr>
          <w:i w:val="0"/>
          <w:color w:val="95B3D7" w:themeColor="accent1" w:themeTint="99"/>
        </w:rPr>
        <w:t>.</w:t>
      </w:r>
      <w:r w:rsidR="00B92D1B">
        <w:rPr>
          <w:i w:val="0"/>
          <w:color w:val="95B3D7" w:themeColor="accent1" w:themeTint="99"/>
        </w:rPr>
        <w:tab/>
      </w:r>
      <w:r w:rsidR="000E21AD" w:rsidRPr="00DE4EF0">
        <w:rPr>
          <w:i w:val="0"/>
          <w:color w:val="365F91" w:themeColor="accent1" w:themeShade="BF"/>
        </w:rPr>
        <w:t>2</w:t>
      </w:r>
      <w:r w:rsidR="00B92D1B">
        <w:rPr>
          <w:i w:val="0"/>
          <w:color w:val="365F91" w:themeColor="accent1" w:themeShade="BF"/>
        </w:rPr>
        <w:t>8</w:t>
      </w:r>
    </w:p>
    <w:p w14:paraId="2364E51C" w14:textId="568598EC" w:rsidR="00F4137A"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_Ref445202000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5: HIE Policies &amp; Procedures – Privacy &amp; Security</w:t>
      </w:r>
      <w:r w:rsidRPr="00A062EE">
        <w:rPr>
          <w:sz w:val="24"/>
          <w:szCs w:val="24"/>
        </w:rPr>
        <w:fldChar w:fldCharType="end"/>
      </w:r>
      <w:r w:rsidR="00EA5190">
        <w:rPr>
          <w:sz w:val="24"/>
          <w:szCs w:val="24"/>
        </w:rPr>
        <w:t xml:space="preserve"> . . . . . . . . . . . . . . . . . . . </w:t>
      </w:r>
      <w:r w:rsidR="00B92D1B">
        <w:rPr>
          <w:sz w:val="24"/>
          <w:szCs w:val="24"/>
        </w:rPr>
        <w:t>.</w:t>
      </w:r>
      <w:r w:rsidR="00B92D1B">
        <w:rPr>
          <w:sz w:val="24"/>
          <w:szCs w:val="24"/>
        </w:rPr>
        <w:tab/>
      </w:r>
      <w:r w:rsidR="00EA5190" w:rsidRPr="00DE4EF0">
        <w:rPr>
          <w:color w:val="365F91" w:themeColor="accent1" w:themeShade="BF"/>
          <w:sz w:val="24"/>
          <w:szCs w:val="24"/>
        </w:rPr>
        <w:t>3</w:t>
      </w:r>
      <w:r w:rsidR="00B92D1B">
        <w:rPr>
          <w:color w:val="365F91" w:themeColor="accent1" w:themeShade="BF"/>
          <w:sz w:val="24"/>
          <w:szCs w:val="24"/>
        </w:rPr>
        <w:t>0</w:t>
      </w:r>
      <w:r w:rsidR="00EA5190">
        <w:rPr>
          <w:sz w:val="24"/>
          <w:szCs w:val="24"/>
        </w:rPr>
        <w:tab/>
      </w:r>
    </w:p>
    <w:p w14:paraId="70B630F2" w14:textId="753241AB" w:rsidR="00F4137A"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_Ref445202005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6: HIE Policies &amp; Procedures – Data Use Agreements</w:t>
      </w:r>
      <w:r w:rsidRPr="00A062EE">
        <w:rPr>
          <w:sz w:val="24"/>
          <w:szCs w:val="24"/>
        </w:rPr>
        <w:fldChar w:fldCharType="end"/>
      </w:r>
      <w:r w:rsidR="00290E49">
        <w:rPr>
          <w:sz w:val="24"/>
          <w:szCs w:val="24"/>
        </w:rPr>
        <w:t xml:space="preserve"> . . . . . . . . . . . . . . . . </w:t>
      </w:r>
      <w:r w:rsidR="00B92D1B">
        <w:rPr>
          <w:sz w:val="24"/>
          <w:szCs w:val="24"/>
        </w:rPr>
        <w:t>.</w:t>
      </w:r>
      <w:r w:rsidR="00B92D1B">
        <w:rPr>
          <w:sz w:val="24"/>
          <w:szCs w:val="24"/>
        </w:rPr>
        <w:tab/>
      </w:r>
      <w:r w:rsidR="00B92D1B">
        <w:rPr>
          <w:color w:val="365F91" w:themeColor="accent1" w:themeShade="BF"/>
          <w:sz w:val="24"/>
          <w:szCs w:val="24"/>
        </w:rPr>
        <w:t>32</w:t>
      </w:r>
      <w:r w:rsidR="00290E49">
        <w:rPr>
          <w:sz w:val="24"/>
          <w:szCs w:val="24"/>
        </w:rPr>
        <w:tab/>
      </w:r>
    </w:p>
    <w:p w14:paraId="1880A296" w14:textId="42D6A2D0" w:rsidR="008B4628" w:rsidRPr="00B96346" w:rsidRDefault="00B96346" w:rsidP="00A27F18">
      <w:pPr>
        <w:pStyle w:val="Heading4"/>
        <w:tabs>
          <w:tab w:val="right" w:pos="9270"/>
        </w:tabs>
        <w:spacing w:before="0" w:after="40"/>
        <w:ind w:left="720"/>
        <w:rPr>
          <w:color w:val="95B3D7" w:themeColor="accent1" w:themeTint="99"/>
        </w:rPr>
      </w:pPr>
      <w:r w:rsidRPr="00B96346">
        <w:rPr>
          <w:color w:val="95B3D7" w:themeColor="accent1" w:themeTint="99"/>
        </w:rPr>
        <w:fldChar w:fldCharType="begin"/>
      </w:r>
      <w:r w:rsidRPr="00B96346">
        <w:rPr>
          <w:color w:val="95B3D7" w:themeColor="accent1" w:themeTint="99"/>
        </w:rPr>
        <w:instrText xml:space="preserve"> REF _Ref445906225 \h  \* MERGEFORMAT </w:instrText>
      </w:r>
      <w:r w:rsidRPr="00B96346">
        <w:rPr>
          <w:color w:val="95B3D7" w:themeColor="accent1" w:themeTint="99"/>
        </w:rPr>
      </w:r>
      <w:r w:rsidRPr="00B96346">
        <w:rPr>
          <w:color w:val="95B3D7" w:themeColor="accent1" w:themeTint="99"/>
        </w:rPr>
        <w:fldChar w:fldCharType="separate"/>
      </w:r>
      <w:bookmarkStart w:id="2" w:name="_Ref446328802"/>
      <w:r w:rsidR="009427C5" w:rsidRPr="009427C5">
        <w:rPr>
          <w:color w:val="95B3D7" w:themeColor="accent1" w:themeTint="99"/>
        </w:rPr>
        <w:t>Best Practices Feature #4 – Data Use Agreements in the United States</w:t>
      </w:r>
      <w:bookmarkEnd w:id="2"/>
      <w:r w:rsidRPr="00B96346">
        <w:rPr>
          <w:color w:val="95B3D7" w:themeColor="accent1" w:themeTint="99"/>
        </w:rPr>
        <w:fldChar w:fldCharType="end"/>
      </w:r>
      <w:r w:rsidR="00480F83">
        <w:rPr>
          <w:color w:val="95B3D7" w:themeColor="accent1" w:themeTint="99"/>
        </w:rPr>
        <w:t xml:space="preserve"> </w:t>
      </w:r>
      <w:r w:rsidR="00480F83" w:rsidRPr="00515CE0">
        <w:rPr>
          <w:i w:val="0"/>
          <w:color w:val="95B3D7" w:themeColor="accent1" w:themeTint="99"/>
        </w:rPr>
        <w:t>. . .</w:t>
      </w:r>
      <w:r w:rsidR="00480F83">
        <w:rPr>
          <w:i w:val="0"/>
          <w:color w:val="95B3D7" w:themeColor="accent1" w:themeTint="99"/>
        </w:rPr>
        <w:t xml:space="preserve"> </w:t>
      </w:r>
      <w:r w:rsidR="00480F83" w:rsidRPr="00515CE0">
        <w:rPr>
          <w:i w:val="0"/>
          <w:color w:val="95B3D7" w:themeColor="accent1" w:themeTint="99"/>
        </w:rPr>
        <w:t>. . .</w:t>
      </w:r>
      <w:r w:rsidR="00480F83">
        <w:rPr>
          <w:i w:val="0"/>
          <w:color w:val="95B3D7" w:themeColor="accent1" w:themeTint="99"/>
        </w:rPr>
        <w:t xml:space="preserve"> . </w:t>
      </w:r>
      <w:r w:rsidR="006823D2">
        <w:rPr>
          <w:i w:val="0"/>
          <w:color w:val="95B3D7" w:themeColor="accent1" w:themeTint="99"/>
        </w:rPr>
        <w:tab/>
      </w:r>
      <w:r w:rsidR="006823D2" w:rsidRPr="00DE4EF0">
        <w:rPr>
          <w:i w:val="0"/>
          <w:color w:val="365F91" w:themeColor="accent1" w:themeShade="BF"/>
        </w:rPr>
        <w:t>4</w:t>
      </w:r>
      <w:r w:rsidR="006823D2">
        <w:rPr>
          <w:i w:val="0"/>
          <w:color w:val="365F91" w:themeColor="accent1" w:themeShade="BF"/>
        </w:rPr>
        <w:t>5</w:t>
      </w:r>
    </w:p>
    <w:p w14:paraId="19EA12E9" w14:textId="3F30E971" w:rsidR="00F4137A" w:rsidRPr="00A062EE" w:rsidRDefault="00A062EE" w:rsidP="00A27F18">
      <w:pPr>
        <w:pStyle w:val="Heading2"/>
        <w:tabs>
          <w:tab w:val="right" w:pos="9270"/>
        </w:tabs>
        <w:spacing w:before="0" w:after="40"/>
        <w:ind w:left="360"/>
        <w:rPr>
          <w:sz w:val="24"/>
          <w:szCs w:val="24"/>
        </w:rPr>
      </w:pPr>
      <w:r w:rsidRPr="00A062EE">
        <w:rPr>
          <w:sz w:val="24"/>
          <w:szCs w:val="24"/>
        </w:rPr>
        <w:fldChar w:fldCharType="begin"/>
      </w:r>
      <w:r w:rsidRPr="00A062EE">
        <w:rPr>
          <w:sz w:val="24"/>
          <w:szCs w:val="24"/>
        </w:rPr>
        <w:instrText xml:space="preserve"> REF _Ref445202012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Key Area 7: HIE Implementation</w:t>
      </w:r>
      <w:r w:rsidRPr="00A062EE">
        <w:rPr>
          <w:sz w:val="24"/>
          <w:szCs w:val="24"/>
        </w:rPr>
        <w:fldChar w:fldCharType="end"/>
      </w:r>
      <w:r w:rsidR="000A4EA1">
        <w:rPr>
          <w:sz w:val="24"/>
          <w:szCs w:val="24"/>
        </w:rPr>
        <w:t xml:space="preserve"> . . . . . . . . . . . . . . . . . . . . . . . . . . . . . . .</w:t>
      </w:r>
      <w:r w:rsidR="00B92D1B">
        <w:rPr>
          <w:sz w:val="24"/>
          <w:szCs w:val="24"/>
        </w:rPr>
        <w:t xml:space="preserve"> . . . . . . . . . . . . . . . </w:t>
      </w:r>
      <w:r w:rsidR="00B92D1B">
        <w:rPr>
          <w:sz w:val="24"/>
          <w:szCs w:val="24"/>
        </w:rPr>
        <w:tab/>
      </w:r>
      <w:r w:rsidR="006823D2">
        <w:rPr>
          <w:color w:val="365F91" w:themeColor="accent1" w:themeShade="BF"/>
          <w:sz w:val="24"/>
          <w:szCs w:val="24"/>
        </w:rPr>
        <w:t>50</w:t>
      </w:r>
      <w:r w:rsidR="000A4EA1" w:rsidRPr="00DE4EF0">
        <w:rPr>
          <w:color w:val="365F91" w:themeColor="accent1" w:themeShade="BF"/>
          <w:sz w:val="24"/>
          <w:szCs w:val="24"/>
        </w:rPr>
        <w:tab/>
      </w:r>
    </w:p>
    <w:p w14:paraId="43E433E2" w14:textId="21ADDE3C" w:rsidR="00B6520E" w:rsidRPr="00A062EE" w:rsidRDefault="00A062EE"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_Ref445202021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Identified HIE Challenges</w:t>
      </w:r>
      <w:r w:rsidRPr="00A062EE">
        <w:rPr>
          <w:sz w:val="24"/>
          <w:szCs w:val="24"/>
        </w:rPr>
        <w:fldChar w:fldCharType="end"/>
      </w:r>
      <w:r w:rsidR="000A4EA1">
        <w:rPr>
          <w:sz w:val="24"/>
          <w:szCs w:val="24"/>
        </w:rPr>
        <w:t xml:space="preserve"> . . . . . . . . . . . . . . . . . . . . . . . . . . . . . . . . . . . . . . . . . . . . . .</w:t>
      </w:r>
      <w:r w:rsidR="003A4872">
        <w:rPr>
          <w:sz w:val="24"/>
          <w:szCs w:val="24"/>
        </w:rPr>
        <w:tab/>
      </w:r>
      <w:r w:rsidR="006823D2">
        <w:rPr>
          <w:sz w:val="24"/>
          <w:szCs w:val="24"/>
        </w:rPr>
        <w:t>51</w:t>
      </w:r>
    </w:p>
    <w:p w14:paraId="24A74AA2" w14:textId="08DE3772" w:rsidR="00B6460A" w:rsidRDefault="00A062EE"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_Ref445202027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Gaps for Future Research</w:t>
      </w:r>
      <w:r w:rsidRPr="00A062EE">
        <w:rPr>
          <w:sz w:val="24"/>
          <w:szCs w:val="24"/>
        </w:rPr>
        <w:fldChar w:fldCharType="end"/>
      </w:r>
      <w:r w:rsidR="00AA4C3F">
        <w:rPr>
          <w:sz w:val="24"/>
          <w:szCs w:val="24"/>
        </w:rPr>
        <w:t xml:space="preserve"> . . . . . . . . . . . . . . . . . . . . . . . . . . . . . . . . . . . . . . . . . . . . . .</w:t>
      </w:r>
      <w:r w:rsidR="003A4872">
        <w:rPr>
          <w:sz w:val="24"/>
          <w:szCs w:val="24"/>
        </w:rPr>
        <w:tab/>
      </w:r>
      <w:r w:rsidR="006823D2">
        <w:rPr>
          <w:sz w:val="24"/>
          <w:szCs w:val="24"/>
        </w:rPr>
        <w:t>54</w:t>
      </w:r>
    </w:p>
    <w:p w14:paraId="40E6E10C" w14:textId="3F2C8AD0" w:rsidR="009E4800" w:rsidRPr="009E4800" w:rsidRDefault="009E4800" w:rsidP="00A27F18">
      <w:pPr>
        <w:tabs>
          <w:tab w:val="right" w:pos="9270"/>
        </w:tabs>
        <w:spacing w:after="40"/>
        <w:ind w:left="360"/>
        <w:rPr>
          <w:rFonts w:asciiTheme="majorHAnsi" w:hAnsiTheme="majorHAnsi"/>
          <w:b/>
          <w:color w:val="4F81BD" w:themeColor="accent1"/>
        </w:rPr>
      </w:pPr>
      <w:r w:rsidRPr="009E4800">
        <w:rPr>
          <w:rFonts w:asciiTheme="majorHAnsi" w:hAnsiTheme="majorHAnsi"/>
          <w:b/>
          <w:color w:val="4F81BD" w:themeColor="accent1"/>
        </w:rPr>
        <w:fldChar w:fldCharType="begin"/>
      </w:r>
      <w:r w:rsidRPr="009E4800">
        <w:rPr>
          <w:rFonts w:asciiTheme="majorHAnsi" w:hAnsiTheme="majorHAnsi"/>
          <w:b/>
          <w:color w:val="4F81BD" w:themeColor="accent1"/>
        </w:rPr>
        <w:instrText xml:space="preserve"> REF _Ref445289399 \h  \* MERGEFORMAT </w:instrText>
      </w:r>
      <w:r w:rsidRPr="009E4800">
        <w:rPr>
          <w:rFonts w:asciiTheme="majorHAnsi" w:hAnsiTheme="majorHAnsi"/>
          <w:b/>
          <w:color w:val="4F81BD" w:themeColor="accent1"/>
        </w:rPr>
      </w:r>
      <w:r w:rsidRPr="009E4800">
        <w:rPr>
          <w:rFonts w:asciiTheme="majorHAnsi" w:hAnsiTheme="majorHAnsi"/>
          <w:b/>
          <w:color w:val="4F81BD" w:themeColor="accent1"/>
        </w:rPr>
        <w:fldChar w:fldCharType="separate"/>
      </w:r>
      <w:r w:rsidR="009427C5" w:rsidRPr="009427C5">
        <w:rPr>
          <w:rFonts w:asciiTheme="majorHAnsi" w:hAnsiTheme="majorHAnsi"/>
          <w:b/>
          <w:color w:val="4F81BD" w:themeColor="accent1"/>
        </w:rPr>
        <w:t>Sidebar: Case Reporting as a Use Case</w:t>
      </w:r>
      <w:r w:rsidRPr="009E4800">
        <w:rPr>
          <w:rFonts w:asciiTheme="majorHAnsi" w:hAnsiTheme="majorHAnsi"/>
          <w:b/>
          <w:color w:val="4F81BD" w:themeColor="accent1"/>
        </w:rPr>
        <w:fldChar w:fldCharType="end"/>
      </w:r>
      <w:r w:rsidR="00AA4C3F">
        <w:rPr>
          <w:rFonts w:asciiTheme="majorHAnsi" w:hAnsiTheme="majorHAnsi"/>
          <w:b/>
          <w:color w:val="4F81BD" w:themeColor="accent1"/>
        </w:rPr>
        <w:t xml:space="preserve"> . . . . . . . . . . . . . . . . . . . . . . . . . . . . . . . . . . . . . . . . .</w:t>
      </w:r>
      <w:r w:rsidR="003A4872">
        <w:rPr>
          <w:rFonts w:asciiTheme="majorHAnsi" w:hAnsiTheme="majorHAnsi"/>
          <w:b/>
          <w:color w:val="4F81BD" w:themeColor="accent1"/>
        </w:rPr>
        <w:tab/>
      </w:r>
      <w:r w:rsidR="006823D2" w:rsidRPr="00DE4EF0">
        <w:rPr>
          <w:rFonts w:asciiTheme="majorHAnsi" w:hAnsiTheme="majorHAnsi"/>
          <w:b/>
          <w:color w:val="365F91" w:themeColor="accent1" w:themeShade="BF"/>
        </w:rPr>
        <w:t>5</w:t>
      </w:r>
      <w:r w:rsidR="006823D2">
        <w:rPr>
          <w:rFonts w:asciiTheme="majorHAnsi" w:hAnsiTheme="majorHAnsi"/>
          <w:b/>
          <w:color w:val="365F91" w:themeColor="accent1" w:themeShade="BF"/>
        </w:rPr>
        <w:t>6</w:t>
      </w:r>
    </w:p>
    <w:p w14:paraId="74546C09" w14:textId="7405F3D9" w:rsidR="008C25F6" w:rsidRPr="00A062EE" w:rsidRDefault="00A062EE"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_Ref445202033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References</w:t>
      </w:r>
      <w:r w:rsidRPr="00A062EE">
        <w:rPr>
          <w:sz w:val="24"/>
          <w:szCs w:val="24"/>
        </w:rPr>
        <w:fldChar w:fldCharType="end"/>
      </w:r>
      <w:r w:rsidR="00AA4C3F">
        <w:rPr>
          <w:sz w:val="24"/>
          <w:szCs w:val="24"/>
        </w:rPr>
        <w:t xml:space="preserve"> . . . . . . . . . . . . . . . . . . . . . . . . . . . . . . . . . . . . . . . . . . . . . . . . . . . . . . . . . . . . </w:t>
      </w:r>
      <w:r w:rsidR="003A4872">
        <w:rPr>
          <w:sz w:val="24"/>
          <w:szCs w:val="24"/>
        </w:rPr>
        <w:tab/>
        <w:t>60</w:t>
      </w:r>
    </w:p>
    <w:p w14:paraId="65C19DF0" w14:textId="0326AC86" w:rsidR="00F4137A" w:rsidRPr="00A062EE" w:rsidRDefault="00A062EE"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_Ref445202038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Appendix A – Contributors</w:t>
      </w:r>
      <w:r w:rsidRPr="00A062EE">
        <w:rPr>
          <w:sz w:val="24"/>
          <w:szCs w:val="24"/>
        </w:rPr>
        <w:fldChar w:fldCharType="end"/>
      </w:r>
      <w:r w:rsidR="00AA4C3F">
        <w:rPr>
          <w:sz w:val="24"/>
          <w:szCs w:val="24"/>
        </w:rPr>
        <w:t xml:space="preserve"> . . . . . . . . . . . . . . . . . . . . . . . . . . . . . . . . . . . . . . . . . . . . .</w:t>
      </w:r>
      <w:r w:rsidR="00AA4C3F">
        <w:rPr>
          <w:sz w:val="24"/>
          <w:szCs w:val="24"/>
        </w:rPr>
        <w:tab/>
      </w:r>
      <w:r w:rsidR="003A4872">
        <w:rPr>
          <w:sz w:val="24"/>
          <w:szCs w:val="24"/>
        </w:rPr>
        <w:t>61</w:t>
      </w:r>
    </w:p>
    <w:p w14:paraId="4FD4E604" w14:textId="11B2EF3F" w:rsidR="00CB05D6" w:rsidRDefault="00CB05D6" w:rsidP="00A27F18">
      <w:pPr>
        <w:pStyle w:val="Heading1"/>
        <w:tabs>
          <w:tab w:val="right" w:pos="9270"/>
        </w:tabs>
        <w:spacing w:before="0" w:after="40"/>
        <w:ind w:left="0"/>
        <w:rPr>
          <w:sz w:val="24"/>
          <w:szCs w:val="24"/>
        </w:rPr>
      </w:pPr>
      <w:r w:rsidRPr="00A062EE">
        <w:rPr>
          <w:sz w:val="24"/>
          <w:szCs w:val="24"/>
        </w:rPr>
        <w:fldChar w:fldCharType="begin"/>
      </w:r>
      <w:r w:rsidRPr="00A062EE">
        <w:rPr>
          <w:sz w:val="24"/>
          <w:szCs w:val="24"/>
        </w:rPr>
        <w:instrText xml:space="preserve"> REF _Ref445202044 \h </w:instrText>
      </w:r>
      <w:r>
        <w:rPr>
          <w:sz w:val="24"/>
          <w:szCs w:val="24"/>
        </w:rPr>
        <w:instrText xml:space="preserve"> \* MERGEFORMAT </w:instrText>
      </w:r>
      <w:r w:rsidRPr="00A062EE">
        <w:rPr>
          <w:sz w:val="24"/>
          <w:szCs w:val="24"/>
        </w:rPr>
      </w:r>
      <w:r w:rsidRPr="00A062EE">
        <w:rPr>
          <w:sz w:val="24"/>
          <w:szCs w:val="24"/>
        </w:rPr>
        <w:fldChar w:fldCharType="separate"/>
      </w:r>
      <w:r w:rsidR="009427C5" w:rsidRPr="009427C5">
        <w:rPr>
          <w:sz w:val="24"/>
          <w:szCs w:val="24"/>
        </w:rPr>
        <w:t>Appendix B – Resources</w:t>
      </w:r>
      <w:r w:rsidRPr="00A062EE">
        <w:rPr>
          <w:sz w:val="24"/>
          <w:szCs w:val="24"/>
        </w:rPr>
        <w:fldChar w:fldCharType="end"/>
      </w:r>
      <w:r w:rsidR="001E240C">
        <w:rPr>
          <w:sz w:val="24"/>
          <w:szCs w:val="24"/>
        </w:rPr>
        <w:t xml:space="preserve"> . . . . . . . . . . . . . . . . . . . . . . . . . . . . . . . . . . . . . . . . . . . . . . .</w:t>
      </w:r>
      <w:r w:rsidR="003A4872">
        <w:rPr>
          <w:sz w:val="24"/>
          <w:szCs w:val="24"/>
        </w:rPr>
        <w:tab/>
        <w:t>65</w:t>
      </w:r>
      <w:r w:rsidR="001E240C">
        <w:rPr>
          <w:sz w:val="24"/>
          <w:szCs w:val="24"/>
        </w:rPr>
        <w:tab/>
      </w:r>
    </w:p>
    <w:p w14:paraId="6683E37B" w14:textId="73AE44E3" w:rsidR="00820376" w:rsidRPr="00723CAC" w:rsidRDefault="00723CAC" w:rsidP="00A27F18">
      <w:pPr>
        <w:pStyle w:val="Heading1"/>
        <w:tabs>
          <w:tab w:val="right" w:pos="9270"/>
        </w:tabs>
        <w:spacing w:before="0" w:after="40"/>
        <w:ind w:left="0"/>
        <w:rPr>
          <w:sz w:val="24"/>
          <w:szCs w:val="24"/>
        </w:rPr>
      </w:pPr>
      <w:r w:rsidRPr="002D5714">
        <w:rPr>
          <w:sz w:val="24"/>
          <w:szCs w:val="24"/>
        </w:rPr>
        <w:fldChar w:fldCharType="begin"/>
      </w:r>
      <w:r w:rsidRPr="00723CAC">
        <w:rPr>
          <w:sz w:val="24"/>
          <w:szCs w:val="24"/>
        </w:rPr>
        <w:instrText xml:space="preserve"> REF _Ref446937898 \h </w:instrText>
      </w:r>
      <w:r w:rsidRPr="00900CD8">
        <w:rPr>
          <w:sz w:val="24"/>
          <w:szCs w:val="24"/>
        </w:rPr>
        <w:instrText xml:space="preserve"> \* MERGEFORMAT </w:instrText>
      </w:r>
      <w:r w:rsidRPr="002D5714">
        <w:rPr>
          <w:sz w:val="24"/>
          <w:szCs w:val="24"/>
        </w:rPr>
      </w:r>
      <w:r w:rsidRPr="002D5714">
        <w:rPr>
          <w:sz w:val="24"/>
          <w:szCs w:val="24"/>
        </w:rPr>
        <w:fldChar w:fldCharType="separate"/>
      </w:r>
      <w:r w:rsidR="009427C5" w:rsidRPr="009427C5">
        <w:rPr>
          <w:sz w:val="24"/>
          <w:szCs w:val="24"/>
        </w:rPr>
        <w:t>Appendix C – Memorandum of Understanding Between Kambia District, Republic of Sierra Leone and Forécariah Prefecture, Republic of Guinea Concerning Surveillance of the Ebola Virus Disease and Coordination of Cross-Border Interventions</w:t>
      </w:r>
      <w:r w:rsidRPr="002D5714">
        <w:rPr>
          <w:sz w:val="24"/>
          <w:szCs w:val="24"/>
        </w:rPr>
        <w:fldChar w:fldCharType="end"/>
      </w:r>
      <w:r w:rsidR="005042DB">
        <w:rPr>
          <w:sz w:val="24"/>
          <w:szCs w:val="24"/>
        </w:rPr>
        <w:t xml:space="preserve"> . . . . . . . . . . . . . . . . . . . . . . . . . . . . . . . . . . . . . . . . . . . . . . . . . . . . . . . . . . . . . . . . . . . .</w:t>
      </w:r>
      <w:r w:rsidR="005042DB">
        <w:rPr>
          <w:sz w:val="24"/>
          <w:szCs w:val="24"/>
        </w:rPr>
        <w:tab/>
        <w:t>72</w:t>
      </w:r>
    </w:p>
    <w:p w14:paraId="3588FB86" w14:textId="4639CD83" w:rsidR="00CB05D6" w:rsidRPr="00CB05D6" w:rsidRDefault="00CB05D6" w:rsidP="00A27F18">
      <w:pPr>
        <w:pStyle w:val="Heading1"/>
        <w:tabs>
          <w:tab w:val="right" w:pos="9270"/>
        </w:tabs>
        <w:spacing w:before="0" w:after="40"/>
        <w:ind w:left="0"/>
        <w:rPr>
          <w:sz w:val="24"/>
          <w:szCs w:val="24"/>
        </w:rPr>
      </w:pPr>
      <w:r w:rsidRPr="00CB05D6">
        <w:rPr>
          <w:sz w:val="24"/>
          <w:szCs w:val="24"/>
        </w:rPr>
        <w:fldChar w:fldCharType="begin"/>
      </w:r>
      <w:r w:rsidRPr="00CB05D6">
        <w:rPr>
          <w:sz w:val="24"/>
          <w:szCs w:val="24"/>
        </w:rPr>
        <w:instrText xml:space="preserve"> REF _Ref445290154 \h  \* MERGEFORMAT </w:instrText>
      </w:r>
      <w:r w:rsidRPr="00CB05D6">
        <w:rPr>
          <w:sz w:val="24"/>
          <w:szCs w:val="24"/>
        </w:rPr>
      </w:r>
      <w:r w:rsidRPr="00CB05D6">
        <w:rPr>
          <w:sz w:val="24"/>
          <w:szCs w:val="24"/>
        </w:rPr>
        <w:fldChar w:fldCharType="separate"/>
      </w:r>
      <w:r w:rsidR="009427C5" w:rsidRPr="009427C5">
        <w:rPr>
          <w:sz w:val="24"/>
          <w:szCs w:val="24"/>
        </w:rPr>
        <w:t>Appendix C – Abstract Submission to 2016 AMIA Symposium</w:t>
      </w:r>
      <w:r w:rsidRPr="00CB05D6">
        <w:rPr>
          <w:sz w:val="24"/>
          <w:szCs w:val="24"/>
        </w:rPr>
        <w:fldChar w:fldCharType="end"/>
      </w:r>
      <w:r w:rsidR="001E240C">
        <w:rPr>
          <w:sz w:val="24"/>
          <w:szCs w:val="24"/>
        </w:rPr>
        <w:t xml:space="preserve"> . . . . . . . . . </w:t>
      </w:r>
      <w:r w:rsidR="005042DB">
        <w:rPr>
          <w:sz w:val="24"/>
          <w:szCs w:val="24"/>
        </w:rPr>
        <w:tab/>
        <w:t>86</w:t>
      </w:r>
    </w:p>
    <w:p w14:paraId="632615E0" w14:textId="77777777" w:rsidR="005438A4" w:rsidRDefault="005438A4" w:rsidP="005438A4"/>
    <w:p w14:paraId="61D3F0AC" w14:textId="77777777" w:rsidR="00A35F66" w:rsidRDefault="00A35F66" w:rsidP="005438A4"/>
    <w:p w14:paraId="14C49828" w14:textId="77777777" w:rsidR="00AA52B6" w:rsidRDefault="00AA52B6" w:rsidP="00A35F66">
      <w:pPr>
        <w:jc w:val="center"/>
        <w:rPr>
          <w:b/>
          <w:sz w:val="28"/>
          <w:szCs w:val="28"/>
        </w:rPr>
      </w:pPr>
    </w:p>
    <w:p w14:paraId="0E13B3D3" w14:textId="3457D444" w:rsidR="00A35F66" w:rsidRPr="00A35F66" w:rsidRDefault="00A35F66" w:rsidP="00A35F66">
      <w:pPr>
        <w:jc w:val="center"/>
        <w:rPr>
          <w:b/>
          <w:sz w:val="28"/>
          <w:szCs w:val="28"/>
        </w:rPr>
      </w:pPr>
      <w:r w:rsidRPr="00A35F66">
        <w:rPr>
          <w:b/>
          <w:sz w:val="28"/>
          <w:szCs w:val="28"/>
        </w:rPr>
        <w:t>List of Tables and Figures</w:t>
      </w:r>
    </w:p>
    <w:p w14:paraId="1AC4E1B6" w14:textId="77777777" w:rsidR="00A35F66" w:rsidRPr="005438A4" w:rsidRDefault="00A35F66" w:rsidP="005438A4"/>
    <w:p w14:paraId="01B9BA75" w14:textId="4B169A9F" w:rsidR="00E97F7F" w:rsidRPr="00CA6D04" w:rsidRDefault="00A35F66" w:rsidP="00CA6D04">
      <w:pPr>
        <w:tabs>
          <w:tab w:val="right" w:pos="9270"/>
        </w:tabs>
        <w:spacing w:after="40"/>
        <w:rPr>
          <w:rFonts w:asciiTheme="majorHAnsi" w:hAnsiTheme="majorHAnsi"/>
          <w:b/>
          <w:color w:val="365F91" w:themeColor="accent1" w:themeShade="BF"/>
        </w:rPr>
      </w:pPr>
      <w:r>
        <w:rPr>
          <w:rFonts w:asciiTheme="majorHAnsi" w:hAnsiTheme="majorHAnsi"/>
          <w:b/>
        </w:rPr>
        <w:t xml:space="preserve">Table 1 </w:t>
      </w:r>
      <w:r w:rsidR="00CA6D04" w:rsidRPr="00CA6D04">
        <w:rPr>
          <w:rFonts w:asciiTheme="majorHAnsi" w:hAnsiTheme="majorHAnsi"/>
          <w:b/>
          <w:color w:val="365F91" w:themeColor="accent1" w:themeShade="BF"/>
        </w:rPr>
        <w:t>LMIC Countries and Proportion of LMIC Reviewed by Region</w:t>
      </w:r>
      <w:r w:rsidR="00D9120B">
        <w:rPr>
          <w:rFonts w:asciiTheme="majorHAnsi" w:hAnsiTheme="majorHAnsi"/>
          <w:b/>
          <w:color w:val="365F91" w:themeColor="accent1" w:themeShade="BF"/>
        </w:rPr>
        <w:t xml:space="preserve"> . . . . . . . . . . . . . . </w:t>
      </w:r>
      <w:r w:rsidR="00D9120B">
        <w:rPr>
          <w:rFonts w:asciiTheme="majorHAnsi" w:hAnsiTheme="majorHAnsi"/>
          <w:b/>
          <w:color w:val="365F91" w:themeColor="accent1" w:themeShade="BF"/>
        </w:rPr>
        <w:tab/>
        <w:t>7</w:t>
      </w:r>
    </w:p>
    <w:p w14:paraId="7F1BDCF6" w14:textId="606DB65D" w:rsidR="00444F57" w:rsidRDefault="00444F57" w:rsidP="00444F57">
      <w:pPr>
        <w:tabs>
          <w:tab w:val="right" w:pos="9270"/>
        </w:tabs>
        <w:spacing w:after="40"/>
        <w:rPr>
          <w:rFonts w:asciiTheme="majorHAnsi" w:hAnsiTheme="majorHAnsi"/>
        </w:rPr>
      </w:pPr>
      <w:r>
        <w:rPr>
          <w:rFonts w:asciiTheme="majorHAnsi" w:hAnsiTheme="majorHAnsi"/>
          <w:b/>
        </w:rPr>
        <w:t xml:space="preserve">Figure 1 </w:t>
      </w:r>
      <w:r w:rsidRPr="00CA6D04">
        <w:rPr>
          <w:rFonts w:asciiTheme="majorHAnsi" w:hAnsiTheme="majorHAnsi"/>
          <w:b/>
          <w:color w:val="365F91" w:themeColor="accent1" w:themeShade="BF"/>
        </w:rPr>
        <w:t>eHealth Governance Structure in the Philippines</w:t>
      </w:r>
      <w:r w:rsidR="00D9120B">
        <w:rPr>
          <w:rFonts w:asciiTheme="majorHAnsi" w:hAnsiTheme="majorHAnsi"/>
          <w:b/>
          <w:color w:val="365F91" w:themeColor="accent1" w:themeShade="BF"/>
        </w:rPr>
        <w:t xml:space="preserve"> . . . . . . . . . . . . . . . . . . . . . . . . </w:t>
      </w:r>
      <w:r w:rsidR="00D9120B">
        <w:rPr>
          <w:rFonts w:asciiTheme="majorHAnsi" w:hAnsiTheme="majorHAnsi"/>
          <w:b/>
          <w:color w:val="365F91" w:themeColor="accent1" w:themeShade="BF"/>
        </w:rPr>
        <w:tab/>
      </w:r>
      <w:r w:rsidR="00513900">
        <w:rPr>
          <w:rFonts w:asciiTheme="majorHAnsi" w:hAnsiTheme="majorHAnsi"/>
          <w:b/>
          <w:color w:val="365F91" w:themeColor="accent1" w:themeShade="BF"/>
        </w:rPr>
        <w:t>19</w:t>
      </w:r>
    </w:p>
    <w:p w14:paraId="2876F511" w14:textId="53904B6C" w:rsidR="00A35F66" w:rsidRDefault="00A35F66" w:rsidP="00CA6D04">
      <w:pPr>
        <w:tabs>
          <w:tab w:val="right" w:pos="9270"/>
        </w:tabs>
        <w:spacing w:after="40"/>
        <w:rPr>
          <w:rFonts w:asciiTheme="majorHAnsi" w:hAnsiTheme="majorHAnsi"/>
          <w:b/>
        </w:rPr>
      </w:pPr>
      <w:r>
        <w:rPr>
          <w:rFonts w:asciiTheme="majorHAnsi" w:hAnsiTheme="majorHAnsi"/>
          <w:b/>
        </w:rPr>
        <w:t>Table 2</w:t>
      </w:r>
      <w:r w:rsidR="00CA6D04">
        <w:rPr>
          <w:rFonts w:asciiTheme="majorHAnsi" w:hAnsiTheme="majorHAnsi"/>
          <w:b/>
        </w:rPr>
        <w:t xml:space="preserve"> </w:t>
      </w:r>
      <w:r w:rsidR="00CA6D04" w:rsidRPr="00CA6D04">
        <w:rPr>
          <w:rFonts w:ascii="Cambria" w:hAnsi="Cambria"/>
          <w:b/>
          <w:color w:val="365F91" w:themeColor="accent1" w:themeShade="BF"/>
        </w:rPr>
        <w:t xml:space="preserve">Legal </w:t>
      </w:r>
      <w:r w:rsidR="00927C49">
        <w:rPr>
          <w:rFonts w:ascii="Cambria" w:hAnsi="Cambria"/>
          <w:b/>
          <w:color w:val="365F91" w:themeColor="accent1" w:themeShade="BF"/>
        </w:rPr>
        <w:t>P</w:t>
      </w:r>
      <w:r w:rsidR="00CA6D04" w:rsidRPr="00CA6D04">
        <w:rPr>
          <w:rFonts w:ascii="Cambria" w:hAnsi="Cambria"/>
          <w:b/>
          <w:color w:val="365F91" w:themeColor="accent1" w:themeShade="BF"/>
        </w:rPr>
        <w:t xml:space="preserve">olicies for the </w:t>
      </w:r>
      <w:r w:rsidR="00927C49">
        <w:rPr>
          <w:rFonts w:ascii="Cambria" w:hAnsi="Cambria"/>
          <w:b/>
          <w:color w:val="365F91" w:themeColor="accent1" w:themeShade="BF"/>
        </w:rPr>
        <w:t>U</w:t>
      </w:r>
      <w:r w:rsidR="00CA6D04" w:rsidRPr="00CA6D04">
        <w:rPr>
          <w:rFonts w:ascii="Cambria" w:hAnsi="Cambria"/>
          <w:b/>
          <w:color w:val="365F91" w:themeColor="accent1" w:themeShade="BF"/>
        </w:rPr>
        <w:t>se of eHealth and ICT in Peru</w:t>
      </w:r>
      <w:r w:rsidR="00D9120B">
        <w:rPr>
          <w:rFonts w:ascii="Cambria" w:hAnsi="Cambria"/>
          <w:b/>
          <w:color w:val="365F91" w:themeColor="accent1" w:themeShade="BF"/>
        </w:rPr>
        <w:t xml:space="preserve"> . . . . . . . . . . . . . . . . . . . . . .</w:t>
      </w:r>
      <w:r w:rsidR="00D9120B">
        <w:rPr>
          <w:rFonts w:ascii="Cambria" w:hAnsi="Cambria"/>
          <w:b/>
          <w:color w:val="365F91" w:themeColor="accent1" w:themeShade="BF"/>
        </w:rPr>
        <w:tab/>
        <w:t>2</w:t>
      </w:r>
      <w:r w:rsidR="00513900">
        <w:rPr>
          <w:rFonts w:ascii="Cambria" w:hAnsi="Cambria"/>
          <w:b/>
          <w:color w:val="365F91" w:themeColor="accent1" w:themeShade="BF"/>
        </w:rPr>
        <w:t>3</w:t>
      </w:r>
    </w:p>
    <w:p w14:paraId="7E0A5DB6" w14:textId="6E938725" w:rsidR="00CA6D04" w:rsidRDefault="00A35F66" w:rsidP="00CA6D04">
      <w:pPr>
        <w:tabs>
          <w:tab w:val="right" w:pos="9270"/>
        </w:tabs>
        <w:spacing w:after="40"/>
        <w:rPr>
          <w:rFonts w:ascii="Cambria" w:hAnsi="Cambria"/>
          <w:b/>
          <w:color w:val="365F91" w:themeColor="accent1" w:themeShade="BF"/>
        </w:rPr>
      </w:pPr>
      <w:r>
        <w:rPr>
          <w:rFonts w:asciiTheme="majorHAnsi" w:hAnsiTheme="majorHAnsi"/>
          <w:b/>
        </w:rPr>
        <w:t>Table 3</w:t>
      </w:r>
      <w:r w:rsidR="00CA6D04">
        <w:rPr>
          <w:rFonts w:asciiTheme="majorHAnsi" w:hAnsiTheme="majorHAnsi"/>
          <w:b/>
        </w:rPr>
        <w:t xml:space="preserve"> </w:t>
      </w:r>
      <w:r w:rsidR="00CA6D04" w:rsidRPr="00CA6D04">
        <w:rPr>
          <w:rFonts w:ascii="Cambria" w:hAnsi="Cambria"/>
          <w:b/>
          <w:color w:val="365F91" w:themeColor="accent1" w:themeShade="BF"/>
        </w:rPr>
        <w:t xml:space="preserve">Legal </w:t>
      </w:r>
      <w:r w:rsidR="00927C49">
        <w:rPr>
          <w:rFonts w:ascii="Cambria" w:hAnsi="Cambria"/>
          <w:b/>
          <w:color w:val="365F91" w:themeColor="accent1" w:themeShade="BF"/>
        </w:rPr>
        <w:t>P</w:t>
      </w:r>
      <w:r w:rsidR="00CA6D04" w:rsidRPr="00CA6D04">
        <w:rPr>
          <w:rFonts w:ascii="Cambria" w:hAnsi="Cambria"/>
          <w:b/>
          <w:color w:val="365F91" w:themeColor="accent1" w:themeShade="BF"/>
        </w:rPr>
        <w:t xml:space="preserve">olicies for </w:t>
      </w:r>
      <w:r w:rsidR="00927C49">
        <w:rPr>
          <w:rFonts w:ascii="Cambria" w:hAnsi="Cambria"/>
          <w:b/>
          <w:color w:val="365F91" w:themeColor="accent1" w:themeShade="BF"/>
        </w:rPr>
        <w:t>H</w:t>
      </w:r>
      <w:r w:rsidR="00CA6D04" w:rsidRPr="00CA6D04">
        <w:rPr>
          <w:rFonts w:ascii="Cambria" w:hAnsi="Cambria"/>
          <w:b/>
          <w:color w:val="365F91" w:themeColor="accent1" w:themeShade="BF"/>
        </w:rPr>
        <w:t xml:space="preserve">ealth </w:t>
      </w:r>
      <w:r w:rsidR="00927C49">
        <w:rPr>
          <w:rFonts w:ascii="Cambria" w:hAnsi="Cambria"/>
          <w:b/>
          <w:color w:val="365F91" w:themeColor="accent1" w:themeShade="BF"/>
        </w:rPr>
        <w:t>I</w:t>
      </w:r>
      <w:r w:rsidR="00CA6D04" w:rsidRPr="00CA6D04">
        <w:rPr>
          <w:rFonts w:ascii="Cambria" w:hAnsi="Cambria"/>
          <w:b/>
          <w:color w:val="365F91" w:themeColor="accent1" w:themeShade="BF"/>
        </w:rPr>
        <w:t xml:space="preserve">nformation </w:t>
      </w:r>
      <w:r w:rsidR="00927C49">
        <w:rPr>
          <w:rFonts w:ascii="Cambria" w:hAnsi="Cambria"/>
          <w:b/>
          <w:color w:val="365F91" w:themeColor="accent1" w:themeShade="BF"/>
        </w:rPr>
        <w:t>E</w:t>
      </w:r>
      <w:r w:rsidR="00CA6D04" w:rsidRPr="00CA6D04">
        <w:rPr>
          <w:rFonts w:ascii="Cambria" w:hAnsi="Cambria"/>
          <w:b/>
          <w:color w:val="365F91" w:themeColor="accent1" w:themeShade="BF"/>
        </w:rPr>
        <w:t xml:space="preserve">xchange and </w:t>
      </w:r>
      <w:r w:rsidR="00927C49">
        <w:rPr>
          <w:rFonts w:ascii="Cambria" w:hAnsi="Cambria"/>
          <w:b/>
          <w:color w:val="365F91" w:themeColor="accent1" w:themeShade="BF"/>
        </w:rPr>
        <w:t>I</w:t>
      </w:r>
      <w:r w:rsidR="00CA6D04" w:rsidRPr="00CA6D04">
        <w:rPr>
          <w:rFonts w:ascii="Cambria" w:hAnsi="Cambria"/>
          <w:b/>
          <w:color w:val="365F91" w:themeColor="accent1" w:themeShade="BF"/>
        </w:rPr>
        <w:t xml:space="preserve">nteroperability in </w:t>
      </w:r>
      <w:r w:rsidR="00D9120B">
        <w:rPr>
          <w:rFonts w:ascii="Cambria" w:hAnsi="Cambria"/>
          <w:b/>
          <w:color w:val="365F91" w:themeColor="accent1" w:themeShade="BF"/>
        </w:rPr>
        <w:t>. . .</w:t>
      </w:r>
      <w:r w:rsidR="00D9120B">
        <w:rPr>
          <w:rFonts w:ascii="Cambria" w:hAnsi="Cambria"/>
          <w:b/>
          <w:color w:val="365F91" w:themeColor="accent1" w:themeShade="BF"/>
        </w:rPr>
        <w:tab/>
        <w:t>2</w:t>
      </w:r>
      <w:r w:rsidR="00513900">
        <w:rPr>
          <w:rFonts w:ascii="Cambria" w:hAnsi="Cambria"/>
          <w:b/>
          <w:color w:val="365F91" w:themeColor="accent1" w:themeShade="BF"/>
        </w:rPr>
        <w:t>4</w:t>
      </w:r>
      <w:r w:rsidR="00D9120B">
        <w:rPr>
          <w:rFonts w:ascii="Cambria" w:hAnsi="Cambria"/>
          <w:b/>
          <w:color w:val="365F91" w:themeColor="accent1" w:themeShade="BF"/>
        </w:rPr>
        <w:tab/>
      </w:r>
    </w:p>
    <w:p w14:paraId="1C3BF430" w14:textId="72831330" w:rsidR="00A35F66" w:rsidRDefault="00CA6D04" w:rsidP="00CA6D04">
      <w:pPr>
        <w:tabs>
          <w:tab w:val="right" w:pos="9270"/>
        </w:tabs>
        <w:spacing w:after="40"/>
        <w:ind w:firstLine="720"/>
        <w:rPr>
          <w:rFonts w:asciiTheme="majorHAnsi" w:hAnsiTheme="majorHAnsi"/>
          <w:b/>
        </w:rPr>
      </w:pPr>
      <w:r>
        <w:rPr>
          <w:rFonts w:ascii="Cambria" w:hAnsi="Cambria"/>
          <w:b/>
          <w:color w:val="365F91" w:themeColor="accent1" w:themeShade="BF"/>
        </w:rPr>
        <w:t xml:space="preserve">   </w:t>
      </w:r>
      <w:r w:rsidRPr="00CA6D04">
        <w:rPr>
          <w:rFonts w:ascii="Cambria" w:hAnsi="Cambria"/>
          <w:b/>
          <w:color w:val="365F91" w:themeColor="accent1" w:themeShade="BF"/>
        </w:rPr>
        <w:t>Peru</w:t>
      </w:r>
    </w:p>
    <w:p w14:paraId="61A5F197" w14:textId="0A3A7965" w:rsidR="00A35F66" w:rsidRDefault="00A35F66" w:rsidP="00CA6D04">
      <w:pPr>
        <w:tabs>
          <w:tab w:val="right" w:pos="9270"/>
        </w:tabs>
        <w:spacing w:after="40"/>
        <w:rPr>
          <w:rFonts w:asciiTheme="majorHAnsi" w:hAnsiTheme="majorHAnsi"/>
          <w:b/>
        </w:rPr>
      </w:pPr>
      <w:r>
        <w:rPr>
          <w:rFonts w:asciiTheme="majorHAnsi" w:hAnsiTheme="majorHAnsi"/>
          <w:b/>
        </w:rPr>
        <w:t>Table 4</w:t>
      </w:r>
      <w:r w:rsidR="00CA6D04">
        <w:rPr>
          <w:rFonts w:asciiTheme="majorHAnsi" w:hAnsiTheme="majorHAnsi"/>
          <w:b/>
        </w:rPr>
        <w:t xml:space="preserve"> </w:t>
      </w:r>
      <w:r w:rsidR="00CA6D04" w:rsidRPr="00CA6D04">
        <w:rPr>
          <w:rFonts w:asciiTheme="majorHAnsi" w:hAnsiTheme="majorHAnsi"/>
          <w:b/>
          <w:color w:val="365F91" w:themeColor="accent1" w:themeShade="BF"/>
        </w:rPr>
        <w:t>Issues and Questions Addressed in Data Exchange Agreements Reviewed</w:t>
      </w:r>
      <w:r w:rsidR="00D9120B">
        <w:rPr>
          <w:rFonts w:asciiTheme="majorHAnsi" w:hAnsiTheme="majorHAnsi"/>
          <w:b/>
          <w:color w:val="365F91" w:themeColor="accent1" w:themeShade="BF"/>
        </w:rPr>
        <w:tab/>
      </w:r>
      <w:r w:rsidR="008C63B2">
        <w:rPr>
          <w:rFonts w:asciiTheme="majorHAnsi" w:hAnsiTheme="majorHAnsi"/>
          <w:b/>
          <w:color w:val="365F91" w:themeColor="accent1" w:themeShade="BF"/>
        </w:rPr>
        <w:t>43</w:t>
      </w:r>
    </w:p>
    <w:p w14:paraId="4D32C284" w14:textId="77777777" w:rsidR="00E97F7F" w:rsidRDefault="00E97F7F" w:rsidP="00CA6D04">
      <w:pPr>
        <w:tabs>
          <w:tab w:val="right" w:pos="9270"/>
        </w:tabs>
        <w:rPr>
          <w:rFonts w:asciiTheme="majorHAnsi" w:hAnsiTheme="majorHAnsi"/>
        </w:rPr>
      </w:pPr>
    </w:p>
    <w:p w14:paraId="2F5D1BA5" w14:textId="77777777" w:rsidR="003E688F" w:rsidRDefault="003E688F">
      <w:pPr>
        <w:rPr>
          <w:rFonts w:asciiTheme="majorHAnsi" w:hAnsiTheme="majorHAnsi"/>
        </w:rPr>
        <w:sectPr w:rsidR="003E688F">
          <w:footnotePr>
            <w:numFmt w:val="lowerLetter"/>
          </w:footnotePr>
          <w:pgSz w:w="12240" w:h="15840"/>
          <w:pgMar w:top="1440" w:right="1440" w:bottom="1440" w:left="1440" w:header="720" w:footer="720" w:gutter="0"/>
          <w:cols w:space="720"/>
          <w:docGrid w:linePitch="360"/>
        </w:sectPr>
      </w:pPr>
    </w:p>
    <w:p w14:paraId="21FA63AF" w14:textId="77777777" w:rsidR="003E688F" w:rsidRPr="00C624DD" w:rsidRDefault="003E688F" w:rsidP="00C624DD">
      <w:pPr>
        <w:pStyle w:val="ListParagraph"/>
        <w:numPr>
          <w:ilvl w:val="0"/>
          <w:numId w:val="4"/>
        </w:numPr>
        <w:jc w:val="center"/>
        <w:rPr>
          <w:rFonts w:asciiTheme="majorHAnsi" w:hAnsiTheme="majorHAnsi"/>
          <w:b/>
          <w:sz w:val="28"/>
          <w:szCs w:val="28"/>
        </w:rPr>
      </w:pPr>
      <w:bookmarkStart w:id="3" w:name="_Ref445201570"/>
      <w:r w:rsidRPr="00C624DD">
        <w:rPr>
          <w:rFonts w:asciiTheme="majorHAnsi" w:hAnsiTheme="majorHAnsi"/>
          <w:b/>
          <w:sz w:val="28"/>
          <w:szCs w:val="28"/>
        </w:rPr>
        <w:lastRenderedPageBreak/>
        <w:t>Acknowledgements &amp; Disclaimer</w:t>
      </w:r>
      <w:bookmarkEnd w:id="3"/>
    </w:p>
    <w:p w14:paraId="1DCEE2C7" w14:textId="77777777" w:rsidR="003E688F" w:rsidRDefault="003E688F" w:rsidP="003E688F">
      <w:pPr>
        <w:jc w:val="center"/>
        <w:rPr>
          <w:rFonts w:asciiTheme="majorHAnsi" w:hAnsiTheme="majorHAnsi"/>
          <w:b/>
          <w:sz w:val="28"/>
          <w:szCs w:val="28"/>
        </w:rPr>
      </w:pPr>
    </w:p>
    <w:p w14:paraId="177FCD13" w14:textId="0278E68A" w:rsidR="001F047D" w:rsidRDefault="001F047D" w:rsidP="00C61809">
      <w:pPr>
        <w:rPr>
          <w:rFonts w:asciiTheme="majorHAnsi" w:hAnsiTheme="majorHAnsi"/>
        </w:rPr>
      </w:pPr>
      <w:r>
        <w:rPr>
          <w:rFonts w:asciiTheme="majorHAnsi" w:hAnsiTheme="majorHAnsi"/>
        </w:rPr>
        <w:t>This report was developed as part of a detail assignment to the Regenstrief Institute between February 1-April 1, 2016.</w:t>
      </w:r>
    </w:p>
    <w:p w14:paraId="1CEB1B09" w14:textId="77777777" w:rsidR="001F047D" w:rsidRDefault="001F047D" w:rsidP="00C61809">
      <w:pPr>
        <w:rPr>
          <w:rFonts w:asciiTheme="majorHAnsi" w:hAnsiTheme="majorHAnsi"/>
        </w:rPr>
      </w:pPr>
    </w:p>
    <w:p w14:paraId="2EE7E84A" w14:textId="35DAA372" w:rsidR="00C61809" w:rsidRDefault="0055529F" w:rsidP="00C61809">
      <w:pPr>
        <w:rPr>
          <w:rFonts w:asciiTheme="majorHAnsi" w:hAnsiTheme="majorHAnsi"/>
        </w:rPr>
      </w:pPr>
      <w:r>
        <w:rPr>
          <w:rFonts w:asciiTheme="majorHAnsi" w:hAnsiTheme="majorHAnsi"/>
        </w:rPr>
        <w:t xml:space="preserve">A great number of contributors provided information that informed this report. I am so grateful for the cooperative spirit in which information was shared with an eye toward improved health and health care through the use of information technology globally. </w:t>
      </w:r>
    </w:p>
    <w:p w14:paraId="61D7FB90" w14:textId="77777777" w:rsidR="0055529F" w:rsidRDefault="0055529F" w:rsidP="00C61809">
      <w:pPr>
        <w:rPr>
          <w:rFonts w:asciiTheme="majorHAnsi" w:hAnsiTheme="majorHAnsi"/>
        </w:rPr>
      </w:pPr>
    </w:p>
    <w:p w14:paraId="1FBD27FB" w14:textId="28A4FFD6" w:rsidR="0055529F" w:rsidRDefault="0055529F" w:rsidP="00C61809">
      <w:pPr>
        <w:rPr>
          <w:rFonts w:asciiTheme="majorHAnsi" w:hAnsiTheme="majorHAnsi"/>
        </w:rPr>
      </w:pPr>
      <w:r>
        <w:rPr>
          <w:rFonts w:asciiTheme="majorHAnsi" w:hAnsiTheme="majorHAnsi"/>
        </w:rPr>
        <w:t xml:space="preserve">Thank you to </w:t>
      </w:r>
      <w:r w:rsidR="001E1A2A">
        <w:rPr>
          <w:rFonts w:asciiTheme="majorHAnsi" w:hAnsiTheme="majorHAnsi"/>
        </w:rPr>
        <w:t>Drs.</w:t>
      </w:r>
      <w:r>
        <w:rPr>
          <w:rFonts w:asciiTheme="majorHAnsi" w:hAnsiTheme="majorHAnsi"/>
        </w:rPr>
        <w:t xml:space="preserve"> Joaquin Blaya and Ogechika Alozie</w:t>
      </w:r>
      <w:r w:rsidR="00795C78">
        <w:rPr>
          <w:rFonts w:asciiTheme="majorHAnsi" w:hAnsiTheme="majorHAnsi"/>
        </w:rPr>
        <w:t xml:space="preserve"> for the</w:t>
      </w:r>
      <w:r>
        <w:rPr>
          <w:rFonts w:asciiTheme="majorHAnsi" w:hAnsiTheme="majorHAnsi"/>
        </w:rPr>
        <w:t xml:space="preserve"> review </w:t>
      </w:r>
      <w:r w:rsidR="00795C78">
        <w:rPr>
          <w:rFonts w:asciiTheme="majorHAnsi" w:hAnsiTheme="majorHAnsi"/>
        </w:rPr>
        <w:t>and</w:t>
      </w:r>
      <w:r>
        <w:rPr>
          <w:rFonts w:asciiTheme="majorHAnsi" w:hAnsiTheme="majorHAnsi"/>
        </w:rPr>
        <w:t xml:space="preserve"> comments </w:t>
      </w:r>
      <w:r w:rsidR="00795C78">
        <w:rPr>
          <w:rFonts w:asciiTheme="majorHAnsi" w:hAnsiTheme="majorHAnsi"/>
        </w:rPr>
        <w:t>which contributed to</w:t>
      </w:r>
      <w:r>
        <w:rPr>
          <w:rFonts w:asciiTheme="majorHAnsi" w:hAnsiTheme="majorHAnsi"/>
        </w:rPr>
        <w:t xml:space="preserve"> the improvement of this report.</w:t>
      </w:r>
    </w:p>
    <w:p w14:paraId="11C73714" w14:textId="77777777" w:rsidR="00C61809" w:rsidRDefault="00C61809" w:rsidP="00C61809">
      <w:pPr>
        <w:rPr>
          <w:rFonts w:asciiTheme="majorHAnsi" w:hAnsiTheme="majorHAnsi"/>
        </w:rPr>
      </w:pPr>
    </w:p>
    <w:p w14:paraId="551A9188" w14:textId="388D5C05" w:rsidR="00C61809" w:rsidRDefault="007D76D1" w:rsidP="00C61809">
      <w:pPr>
        <w:rPr>
          <w:rFonts w:asciiTheme="majorHAnsi" w:hAnsiTheme="majorHAnsi"/>
        </w:rPr>
      </w:pPr>
      <w:r>
        <w:rPr>
          <w:rFonts w:asciiTheme="majorHAnsi" w:hAnsiTheme="majorHAnsi"/>
        </w:rPr>
        <w:t>I would like to thank Drs. Theresa Cullen and Paul Biondich for providing me the opportunity to work with the Regenstrief Institute and for their input and guidance into this work.</w:t>
      </w:r>
    </w:p>
    <w:p w14:paraId="774DFAC0" w14:textId="77777777" w:rsidR="00C61809" w:rsidRDefault="00C61809" w:rsidP="00C61809">
      <w:pPr>
        <w:rPr>
          <w:rFonts w:asciiTheme="majorHAnsi" w:hAnsiTheme="majorHAnsi"/>
        </w:rPr>
      </w:pPr>
    </w:p>
    <w:p w14:paraId="24DEBA98" w14:textId="43771E99" w:rsidR="003E688F" w:rsidRPr="00C61809" w:rsidRDefault="00C61809" w:rsidP="00C61809">
      <w:pPr>
        <w:rPr>
          <w:rFonts w:asciiTheme="majorHAnsi" w:hAnsiTheme="majorHAnsi"/>
        </w:rPr>
        <w:sectPr w:rsidR="003E688F" w:rsidRPr="00C61809">
          <w:headerReference w:type="even" r:id="rId13"/>
          <w:headerReference w:type="default" r:id="rId14"/>
          <w:footerReference w:type="default" r:id="rId15"/>
          <w:headerReference w:type="first" r:id="rId16"/>
          <w:footnotePr>
            <w:numFmt w:val="lowerLetter"/>
          </w:footnotePr>
          <w:pgSz w:w="12240" w:h="15840"/>
          <w:pgMar w:top="1440" w:right="1440" w:bottom="1440" w:left="1440" w:header="720" w:footer="720" w:gutter="0"/>
          <w:cols w:space="720"/>
          <w:docGrid w:linePitch="360"/>
        </w:sectPr>
      </w:pPr>
      <w:r>
        <w:rPr>
          <w:rFonts w:asciiTheme="majorHAnsi" w:hAnsiTheme="majorHAnsi"/>
        </w:rPr>
        <w:t xml:space="preserve">The material presented in this report represents my personal interpretations and conclusions. The report does not represent the position of the Regenstrief Institute </w:t>
      </w:r>
      <w:r w:rsidR="009341AF">
        <w:rPr>
          <w:rFonts w:asciiTheme="majorHAnsi" w:hAnsiTheme="majorHAnsi"/>
        </w:rPr>
        <w:t>or</w:t>
      </w:r>
      <w:r>
        <w:rPr>
          <w:rFonts w:asciiTheme="majorHAnsi" w:hAnsiTheme="majorHAnsi"/>
        </w:rPr>
        <w:t xml:space="preserve"> any other individual or organization.</w:t>
      </w:r>
    </w:p>
    <w:p w14:paraId="0FA92BF1" w14:textId="0ABBBEE9" w:rsidR="003E688F" w:rsidRPr="00C624DD" w:rsidRDefault="001D4067" w:rsidP="00C624DD">
      <w:pPr>
        <w:pStyle w:val="ListParagraph"/>
        <w:numPr>
          <w:ilvl w:val="0"/>
          <w:numId w:val="4"/>
        </w:numPr>
        <w:jc w:val="center"/>
        <w:rPr>
          <w:rFonts w:asciiTheme="majorHAnsi" w:hAnsiTheme="majorHAnsi"/>
          <w:b/>
          <w:sz w:val="28"/>
          <w:szCs w:val="28"/>
        </w:rPr>
      </w:pPr>
      <w:bookmarkStart w:id="4" w:name="_Ref445892456"/>
      <w:r>
        <w:rPr>
          <w:rFonts w:asciiTheme="majorHAnsi" w:hAnsiTheme="majorHAnsi"/>
          <w:b/>
          <w:sz w:val="28"/>
          <w:szCs w:val="28"/>
        </w:rPr>
        <w:t>Introduction</w:t>
      </w:r>
      <w:bookmarkEnd w:id="4"/>
    </w:p>
    <w:p w14:paraId="68078468" w14:textId="77777777" w:rsidR="003E688F" w:rsidRDefault="003E688F" w:rsidP="003E688F">
      <w:pPr>
        <w:jc w:val="center"/>
        <w:rPr>
          <w:rFonts w:asciiTheme="majorHAnsi" w:hAnsiTheme="majorHAnsi"/>
          <w:b/>
          <w:sz w:val="28"/>
          <w:szCs w:val="28"/>
        </w:rPr>
      </w:pPr>
    </w:p>
    <w:p w14:paraId="484EC8CF" w14:textId="72BB9456" w:rsidR="007B49A4" w:rsidRPr="00F34F38" w:rsidRDefault="00452A4C" w:rsidP="00452A4C">
      <w:pPr>
        <w:rPr>
          <w:rFonts w:asciiTheme="majorHAnsi" w:hAnsiTheme="majorHAnsi"/>
        </w:rPr>
      </w:pPr>
      <w:r>
        <w:rPr>
          <w:rFonts w:asciiTheme="majorHAnsi" w:hAnsiTheme="majorHAnsi"/>
        </w:rPr>
        <w:t>eHealth is the use of information and communication technologies (ICT) to improve the electronic flow of information to support delivery of health services and the management of health systems.</w:t>
      </w:r>
      <w:r w:rsidR="00157650">
        <w:rPr>
          <w:rFonts w:asciiTheme="majorHAnsi" w:hAnsiTheme="majorHAnsi"/>
        </w:rPr>
        <w:t>[1]</w:t>
      </w:r>
      <w:r>
        <w:rPr>
          <w:rFonts w:asciiTheme="majorHAnsi" w:hAnsiTheme="majorHAnsi"/>
        </w:rPr>
        <w:t xml:space="preserve"> eHealth is a tool to improve health and health care in an environment where technology and data availability are becoming </w:t>
      </w:r>
      <w:r w:rsidR="00C936B8">
        <w:rPr>
          <w:rFonts w:asciiTheme="majorHAnsi" w:hAnsiTheme="majorHAnsi"/>
        </w:rPr>
        <w:t>increasingly available.</w:t>
      </w:r>
      <w:r w:rsidR="00157650">
        <w:rPr>
          <w:rFonts w:asciiTheme="majorHAnsi" w:hAnsiTheme="majorHAnsi"/>
        </w:rPr>
        <w:t>[2]</w:t>
      </w:r>
    </w:p>
    <w:p w14:paraId="234DEB4F" w14:textId="77777777" w:rsidR="007B49A4" w:rsidRDefault="007B49A4" w:rsidP="00452A4C">
      <w:pPr>
        <w:rPr>
          <w:rFonts w:asciiTheme="majorHAnsi" w:hAnsiTheme="majorHAnsi"/>
        </w:rPr>
      </w:pPr>
    </w:p>
    <w:p w14:paraId="036F6B0B" w14:textId="4683AC07" w:rsidR="003E688F" w:rsidRDefault="007B49A4" w:rsidP="00452A4C">
      <w:pPr>
        <w:rPr>
          <w:rFonts w:asciiTheme="majorHAnsi" w:hAnsiTheme="majorHAnsi"/>
        </w:rPr>
      </w:pPr>
      <w:r>
        <w:rPr>
          <w:rFonts w:asciiTheme="majorHAnsi" w:hAnsiTheme="majorHAnsi"/>
        </w:rPr>
        <w:t xml:space="preserve">More recent implementations of eHealth have applied the health information exchange (HIE) model as an architectural approach for data sharing. </w:t>
      </w:r>
      <w:r w:rsidR="002B21B6">
        <w:rPr>
          <w:rFonts w:asciiTheme="majorHAnsi" w:hAnsiTheme="majorHAnsi"/>
        </w:rPr>
        <w:t xml:space="preserve">Data sharing enhances clinical care, community surveillance, and program evaluation activities. It is also essential for effective responses to global epidemic situations such as Ebola and Zika virus. </w:t>
      </w:r>
      <w:r>
        <w:rPr>
          <w:rFonts w:asciiTheme="majorHAnsi" w:hAnsiTheme="majorHAnsi"/>
        </w:rPr>
        <w:t xml:space="preserve">“Health information exchange” is used in the health sector vernacular as both a noun and a verb. As a noun, HIE refers to </w:t>
      </w:r>
      <w:r w:rsidR="003E1336">
        <w:rPr>
          <w:rFonts w:asciiTheme="majorHAnsi" w:hAnsiTheme="majorHAnsi"/>
        </w:rPr>
        <w:t>a corporate entity of organizations that provides services focused on data exchange and sharing of patient data across disparate stakeholders at the local, state, regional, and national level. HIE as a verb refers to the provision of interoperable data, infrastructure, and technology for the exchange of data between and among health care providers who are not structurally or organizationally related to one another.</w:t>
      </w:r>
      <w:r w:rsidR="00157650">
        <w:rPr>
          <w:rFonts w:asciiTheme="majorHAnsi" w:hAnsiTheme="majorHAnsi"/>
        </w:rPr>
        <w:t>[3]</w:t>
      </w:r>
    </w:p>
    <w:p w14:paraId="1369B6D6" w14:textId="77777777" w:rsidR="00154857" w:rsidRDefault="00154857" w:rsidP="00452A4C">
      <w:pPr>
        <w:rPr>
          <w:rFonts w:asciiTheme="majorHAnsi" w:hAnsiTheme="majorHAnsi"/>
        </w:rPr>
      </w:pPr>
    </w:p>
    <w:p w14:paraId="50F02888" w14:textId="004FDBCE" w:rsidR="00365F5E" w:rsidRDefault="00C679B9" w:rsidP="00452A4C">
      <w:pPr>
        <w:rPr>
          <w:rFonts w:asciiTheme="majorHAnsi" w:hAnsiTheme="majorHAnsi"/>
        </w:rPr>
      </w:pPr>
      <w:r>
        <w:rPr>
          <w:rFonts w:asciiTheme="majorHAnsi" w:hAnsiTheme="majorHAnsi"/>
        </w:rPr>
        <w:t xml:space="preserve">OpenHIE supports interoperability by creating a reusable architectural framework that introduces a service-oriented approach, maximally leverages health information standards, enables flexible implementation by country partners, and supports interchangeability of individual components. </w:t>
      </w:r>
      <w:r w:rsidR="00575D4B">
        <w:rPr>
          <w:rFonts w:asciiTheme="majorHAnsi" w:hAnsiTheme="majorHAnsi"/>
        </w:rPr>
        <w:t xml:space="preserve">The </w:t>
      </w:r>
      <w:hyperlink r:id="rId17" w:history="1">
        <w:r w:rsidR="00575D4B" w:rsidRPr="00575D4B">
          <w:rPr>
            <w:rStyle w:val="Hyperlink"/>
            <w:rFonts w:asciiTheme="majorHAnsi" w:hAnsiTheme="majorHAnsi"/>
          </w:rPr>
          <w:t>OpenHIE</w:t>
        </w:r>
      </w:hyperlink>
      <w:r w:rsidR="00575D4B">
        <w:rPr>
          <w:rFonts w:asciiTheme="majorHAnsi" w:hAnsiTheme="majorHAnsi"/>
        </w:rPr>
        <w:t xml:space="preserve"> community improves the health of the underserved through open and collaborative development and support of country-driven, large scale health information sharing architectures. </w:t>
      </w:r>
    </w:p>
    <w:p w14:paraId="1918C182" w14:textId="77777777" w:rsidR="00365F5E" w:rsidRDefault="00365F5E" w:rsidP="00452A4C">
      <w:pPr>
        <w:rPr>
          <w:rFonts w:asciiTheme="majorHAnsi" w:hAnsiTheme="majorHAnsi"/>
        </w:rPr>
      </w:pPr>
    </w:p>
    <w:p w14:paraId="442B6962" w14:textId="34888E5D" w:rsidR="00154857" w:rsidRDefault="00AE6A50" w:rsidP="00452A4C">
      <w:pPr>
        <w:rPr>
          <w:rFonts w:asciiTheme="majorHAnsi" w:hAnsiTheme="majorHAnsi"/>
        </w:rPr>
      </w:pPr>
      <w:r>
        <w:rPr>
          <w:rFonts w:asciiTheme="majorHAnsi" w:hAnsiTheme="majorHAnsi"/>
        </w:rPr>
        <w:t>Recent</w:t>
      </w:r>
      <w:r w:rsidR="00575D4B">
        <w:rPr>
          <w:rFonts w:asciiTheme="majorHAnsi" w:hAnsiTheme="majorHAnsi"/>
        </w:rPr>
        <w:t xml:space="preserve"> experience </w:t>
      </w:r>
      <w:r w:rsidR="00B534E9">
        <w:rPr>
          <w:rFonts w:asciiTheme="majorHAnsi" w:hAnsiTheme="majorHAnsi"/>
        </w:rPr>
        <w:t xml:space="preserve">implementing HIE infrastructure </w:t>
      </w:r>
      <w:r w:rsidR="00575D4B">
        <w:rPr>
          <w:rFonts w:asciiTheme="majorHAnsi" w:hAnsiTheme="majorHAnsi"/>
        </w:rPr>
        <w:t xml:space="preserve">has identified </w:t>
      </w:r>
      <w:r w:rsidR="00C679B9">
        <w:rPr>
          <w:rFonts w:asciiTheme="majorHAnsi" w:hAnsiTheme="majorHAnsi"/>
        </w:rPr>
        <w:t xml:space="preserve">the need for </w:t>
      </w:r>
      <w:r w:rsidR="00575D4B">
        <w:rPr>
          <w:rFonts w:asciiTheme="majorHAnsi" w:hAnsiTheme="majorHAnsi"/>
        </w:rPr>
        <w:t>effective policies and procedures for data sharing</w:t>
      </w:r>
      <w:r w:rsidR="00977DF1">
        <w:rPr>
          <w:rFonts w:asciiTheme="majorHAnsi" w:hAnsiTheme="majorHAnsi"/>
        </w:rPr>
        <w:t xml:space="preserve"> and HIE implementation</w:t>
      </w:r>
      <w:r w:rsidR="00C679B9">
        <w:rPr>
          <w:rFonts w:asciiTheme="majorHAnsi" w:hAnsiTheme="majorHAnsi"/>
        </w:rPr>
        <w:t>. These policies and procedures act</w:t>
      </w:r>
      <w:r w:rsidR="00575D4B">
        <w:rPr>
          <w:rFonts w:asciiTheme="majorHAnsi" w:hAnsiTheme="majorHAnsi"/>
        </w:rPr>
        <w:t xml:space="preserve"> as key enabling area</w:t>
      </w:r>
      <w:r w:rsidR="00C679B9">
        <w:rPr>
          <w:rFonts w:asciiTheme="majorHAnsi" w:hAnsiTheme="majorHAnsi"/>
        </w:rPr>
        <w:t>s</w:t>
      </w:r>
      <w:r w:rsidR="00575D4B">
        <w:rPr>
          <w:rFonts w:asciiTheme="majorHAnsi" w:hAnsiTheme="majorHAnsi"/>
        </w:rPr>
        <w:t xml:space="preserve"> for successful HIE (the verb) in resource-challenged settings.</w:t>
      </w:r>
      <w:r w:rsidR="00157650">
        <w:rPr>
          <w:rFonts w:asciiTheme="majorHAnsi" w:hAnsiTheme="majorHAnsi"/>
        </w:rPr>
        <w:t>[4]</w:t>
      </w:r>
      <w:r>
        <w:rPr>
          <w:rFonts w:asciiTheme="majorHAnsi" w:hAnsiTheme="majorHAnsi"/>
        </w:rPr>
        <w:t xml:space="preserve"> </w:t>
      </w:r>
      <w:r w:rsidR="00575D4B">
        <w:rPr>
          <w:rFonts w:asciiTheme="majorHAnsi" w:hAnsiTheme="majorHAnsi"/>
        </w:rPr>
        <w:t>Policies include laws, national strategies, and legal agreements and procedures include implementation guidance and standards.</w:t>
      </w:r>
      <w:r w:rsidR="009A50BE">
        <w:rPr>
          <w:rFonts w:asciiTheme="majorHAnsi" w:hAnsiTheme="majorHAnsi"/>
        </w:rPr>
        <w:t xml:space="preserve"> </w:t>
      </w:r>
      <w:r w:rsidR="00C26194">
        <w:rPr>
          <w:rFonts w:asciiTheme="majorHAnsi" w:hAnsiTheme="majorHAnsi"/>
        </w:rPr>
        <w:t xml:space="preserve">Policies and procedures for HIE can </w:t>
      </w:r>
      <w:r w:rsidR="00C679B9">
        <w:rPr>
          <w:rFonts w:asciiTheme="majorHAnsi" w:hAnsiTheme="majorHAnsi"/>
        </w:rPr>
        <w:t xml:space="preserve">also </w:t>
      </w:r>
      <w:r w:rsidR="00C26194">
        <w:rPr>
          <w:rFonts w:asciiTheme="majorHAnsi" w:hAnsiTheme="majorHAnsi"/>
        </w:rPr>
        <w:t>address issues of data ownership, data sharing, data aggregation, data reuse, governance, and privacy and security.</w:t>
      </w:r>
    </w:p>
    <w:p w14:paraId="19AD9509" w14:textId="77777777" w:rsidR="003613B4" w:rsidRPr="003613B4" w:rsidRDefault="003613B4" w:rsidP="00452A4C">
      <w:pPr>
        <w:rPr>
          <w:rFonts w:asciiTheme="majorHAnsi" w:hAnsiTheme="majorHAnsi"/>
        </w:rPr>
      </w:pPr>
    </w:p>
    <w:p w14:paraId="333B4786" w14:textId="311E4FB7" w:rsidR="003613B4" w:rsidRPr="003613B4" w:rsidRDefault="003613B4" w:rsidP="00452A4C">
      <w:pPr>
        <w:rPr>
          <w:rFonts w:asciiTheme="majorHAnsi" w:hAnsiTheme="majorHAnsi"/>
        </w:rPr>
      </w:pPr>
      <w:r w:rsidRPr="003613B4">
        <w:rPr>
          <w:rFonts w:asciiTheme="majorHAnsi" w:hAnsiTheme="majorHAnsi"/>
        </w:rPr>
        <w:t xml:space="preserve">The World Health Organization undertook a series of surveys of eHealth in Member States which informed the </w:t>
      </w:r>
      <w:hyperlink r:id="rId18" w:history="1">
        <w:r w:rsidRPr="003613B4">
          <w:rPr>
            <w:rStyle w:val="Hyperlink"/>
            <w:rFonts w:asciiTheme="majorHAnsi" w:hAnsiTheme="majorHAnsi"/>
          </w:rPr>
          <w:t>Global Observatory for eHealth</w:t>
        </w:r>
      </w:hyperlink>
      <w:r w:rsidRPr="003613B4">
        <w:rPr>
          <w:rFonts w:asciiTheme="majorHAnsi" w:hAnsiTheme="majorHAnsi"/>
        </w:rPr>
        <w:t xml:space="preserve"> (GOe) series of publications in 2010-2014.</w:t>
      </w:r>
      <w:r w:rsidR="00D07235">
        <w:rPr>
          <w:rFonts w:asciiTheme="majorHAnsi" w:hAnsiTheme="majorHAnsi"/>
        </w:rPr>
        <w:t>[5]</w:t>
      </w:r>
      <w:r w:rsidRPr="003613B4">
        <w:rPr>
          <w:rFonts w:asciiTheme="majorHAnsi" w:hAnsiTheme="majorHAnsi"/>
        </w:rPr>
        <w:t xml:space="preserve"> While the GOe surveys and publications provide a strong baseline for understanding the use of eHealth in LMIC, they do not focus on HIE and interoperability through the lens of governance and data use issues.</w:t>
      </w:r>
    </w:p>
    <w:p w14:paraId="6099B266" w14:textId="77777777" w:rsidR="009A50BE" w:rsidRDefault="009A50BE" w:rsidP="00452A4C">
      <w:pPr>
        <w:rPr>
          <w:rFonts w:asciiTheme="majorHAnsi" w:hAnsiTheme="majorHAnsi"/>
        </w:rPr>
      </w:pPr>
    </w:p>
    <w:p w14:paraId="0EB42D37" w14:textId="217B0AB0" w:rsidR="0033272F" w:rsidRPr="00452A4C" w:rsidRDefault="009A50BE" w:rsidP="00452A4C">
      <w:pPr>
        <w:rPr>
          <w:rFonts w:asciiTheme="majorHAnsi" w:hAnsiTheme="majorHAnsi"/>
        </w:rPr>
        <w:sectPr w:rsidR="0033272F" w:rsidRPr="00452A4C">
          <w:footnotePr>
            <w:numFmt w:val="lowerLetter"/>
          </w:footnotePr>
          <w:pgSz w:w="12240" w:h="15840"/>
          <w:pgMar w:top="1440" w:right="1440" w:bottom="1440" w:left="1440" w:header="720" w:footer="720" w:gutter="0"/>
          <w:cols w:space="720"/>
          <w:docGrid w:linePitch="360"/>
        </w:sectPr>
      </w:pPr>
      <w:r>
        <w:rPr>
          <w:rFonts w:asciiTheme="majorHAnsi" w:hAnsiTheme="majorHAnsi"/>
        </w:rPr>
        <w:t xml:space="preserve">This report provides findings from a review of </w:t>
      </w:r>
      <w:r w:rsidR="00533459">
        <w:rPr>
          <w:rFonts w:asciiTheme="majorHAnsi" w:hAnsiTheme="majorHAnsi"/>
        </w:rPr>
        <w:t xml:space="preserve">HIE (the verb) in </w:t>
      </w:r>
      <w:r w:rsidR="003601CB">
        <w:rPr>
          <w:rFonts w:asciiTheme="majorHAnsi" w:hAnsiTheme="majorHAnsi"/>
        </w:rPr>
        <w:t>2</w:t>
      </w:r>
      <w:r w:rsidR="00037609">
        <w:rPr>
          <w:rFonts w:asciiTheme="majorHAnsi" w:hAnsiTheme="majorHAnsi"/>
        </w:rPr>
        <w:t>8</w:t>
      </w:r>
      <w:r w:rsidR="003601CB">
        <w:rPr>
          <w:rFonts w:asciiTheme="majorHAnsi" w:hAnsiTheme="majorHAnsi"/>
        </w:rPr>
        <w:t xml:space="preserve"> </w:t>
      </w:r>
      <w:r w:rsidR="00533459">
        <w:rPr>
          <w:rFonts w:asciiTheme="majorHAnsi" w:hAnsiTheme="majorHAnsi"/>
        </w:rPr>
        <w:t>l</w:t>
      </w:r>
      <w:r w:rsidR="00046A95">
        <w:rPr>
          <w:rFonts w:asciiTheme="majorHAnsi" w:hAnsiTheme="majorHAnsi"/>
        </w:rPr>
        <w:t>ow- and middle-income countries (LMIC) as defined by the World Bank.</w:t>
      </w:r>
      <w:r w:rsidR="00157650">
        <w:rPr>
          <w:rFonts w:asciiTheme="majorHAnsi" w:hAnsiTheme="majorHAnsi"/>
        </w:rPr>
        <w:t>[</w:t>
      </w:r>
      <w:r w:rsidR="00D07235">
        <w:rPr>
          <w:rFonts w:asciiTheme="majorHAnsi" w:hAnsiTheme="majorHAnsi"/>
        </w:rPr>
        <w:t>6</w:t>
      </w:r>
      <w:r w:rsidR="00157650">
        <w:rPr>
          <w:rFonts w:asciiTheme="majorHAnsi" w:hAnsiTheme="majorHAnsi"/>
        </w:rPr>
        <w:t>]</w:t>
      </w:r>
      <w:r w:rsidR="00046A95">
        <w:rPr>
          <w:rFonts w:asciiTheme="majorHAnsi" w:hAnsiTheme="majorHAnsi"/>
        </w:rPr>
        <w:t xml:space="preserve"> The review focused on </w:t>
      </w:r>
      <w:r w:rsidR="00B0180B">
        <w:rPr>
          <w:rFonts w:asciiTheme="majorHAnsi" w:hAnsiTheme="majorHAnsi"/>
        </w:rPr>
        <w:t xml:space="preserve">governance and data use </w:t>
      </w:r>
      <w:r w:rsidR="00533459">
        <w:rPr>
          <w:rFonts w:asciiTheme="majorHAnsi" w:hAnsiTheme="majorHAnsi"/>
        </w:rPr>
        <w:t xml:space="preserve">issues identified in country policies and procedures. </w:t>
      </w:r>
      <w:r w:rsidR="008D154F">
        <w:rPr>
          <w:rFonts w:asciiTheme="majorHAnsi" w:hAnsiTheme="majorHAnsi"/>
        </w:rPr>
        <w:t xml:space="preserve">The findings are </w:t>
      </w:r>
      <w:r w:rsidR="00C679B9">
        <w:rPr>
          <w:rFonts w:asciiTheme="majorHAnsi" w:hAnsiTheme="majorHAnsi"/>
        </w:rPr>
        <w:t xml:space="preserve">designed to identify the </w:t>
      </w:r>
      <w:r w:rsidR="008D154F">
        <w:rPr>
          <w:rFonts w:asciiTheme="majorHAnsi" w:hAnsiTheme="majorHAnsi"/>
        </w:rPr>
        <w:t xml:space="preserve">framework of key decisions </w:t>
      </w:r>
      <w:r w:rsidR="00C679B9">
        <w:rPr>
          <w:rFonts w:asciiTheme="majorHAnsi" w:hAnsiTheme="majorHAnsi"/>
        </w:rPr>
        <w:t xml:space="preserve">that </w:t>
      </w:r>
      <w:r w:rsidR="008D154F">
        <w:rPr>
          <w:rFonts w:asciiTheme="majorHAnsi" w:hAnsiTheme="majorHAnsi"/>
        </w:rPr>
        <w:t xml:space="preserve">countries should address in planning for and implementing infrastructure for HIE. Real-world examples are provided as options for each key decision </w:t>
      </w:r>
      <w:r w:rsidR="00C679B9">
        <w:rPr>
          <w:rFonts w:asciiTheme="majorHAnsi" w:hAnsiTheme="majorHAnsi"/>
        </w:rPr>
        <w:t xml:space="preserve">point </w:t>
      </w:r>
      <w:r w:rsidR="006A38E8">
        <w:rPr>
          <w:rFonts w:asciiTheme="majorHAnsi" w:hAnsiTheme="majorHAnsi"/>
        </w:rPr>
        <w:t>to provide benchmarks and a</w:t>
      </w:r>
      <w:r w:rsidR="00171C47">
        <w:rPr>
          <w:rFonts w:asciiTheme="majorHAnsi" w:hAnsiTheme="majorHAnsi"/>
        </w:rPr>
        <w:t xml:space="preserve"> starting point for discussions.</w:t>
      </w:r>
    </w:p>
    <w:p w14:paraId="646A2FA1" w14:textId="77777777" w:rsidR="003E688F" w:rsidRPr="00C624DD" w:rsidRDefault="003E688F" w:rsidP="00C624DD">
      <w:pPr>
        <w:pStyle w:val="ListParagraph"/>
        <w:numPr>
          <w:ilvl w:val="0"/>
          <w:numId w:val="4"/>
        </w:numPr>
        <w:jc w:val="center"/>
        <w:rPr>
          <w:rFonts w:asciiTheme="majorHAnsi" w:hAnsiTheme="majorHAnsi"/>
          <w:b/>
          <w:sz w:val="28"/>
          <w:szCs w:val="28"/>
        </w:rPr>
      </w:pPr>
      <w:bookmarkStart w:id="5" w:name="_Ref445201917"/>
      <w:r w:rsidRPr="00C624DD">
        <w:rPr>
          <w:rFonts w:asciiTheme="majorHAnsi" w:hAnsiTheme="majorHAnsi"/>
          <w:b/>
          <w:sz w:val="28"/>
          <w:szCs w:val="28"/>
        </w:rPr>
        <w:t>Methods</w:t>
      </w:r>
      <w:bookmarkEnd w:id="5"/>
    </w:p>
    <w:p w14:paraId="58B21AE3" w14:textId="77777777" w:rsidR="003E688F" w:rsidRDefault="003E688F" w:rsidP="003E688F">
      <w:pPr>
        <w:jc w:val="center"/>
        <w:rPr>
          <w:rFonts w:asciiTheme="majorHAnsi" w:hAnsiTheme="majorHAnsi"/>
        </w:rPr>
      </w:pPr>
    </w:p>
    <w:p w14:paraId="43BE69C8" w14:textId="5692703B" w:rsidR="00C05CF5" w:rsidRDefault="009F10BA" w:rsidP="00A93B42">
      <w:pPr>
        <w:rPr>
          <w:rFonts w:asciiTheme="majorHAnsi" w:hAnsiTheme="majorHAnsi"/>
        </w:rPr>
      </w:pPr>
      <w:r>
        <w:rPr>
          <w:rFonts w:asciiTheme="majorHAnsi" w:hAnsiTheme="majorHAnsi"/>
        </w:rPr>
        <w:t>A qualitative mixed-methods review was perf</w:t>
      </w:r>
      <w:r w:rsidR="00650A72">
        <w:rPr>
          <w:rFonts w:asciiTheme="majorHAnsi" w:hAnsiTheme="majorHAnsi"/>
        </w:rPr>
        <w:t>ormed of countries defined as low- or middle-income by the World Bank</w:t>
      </w:r>
      <w:r w:rsidR="00387B89">
        <w:rPr>
          <w:rFonts w:asciiTheme="majorHAnsi" w:hAnsiTheme="majorHAnsi"/>
        </w:rPr>
        <w:t xml:space="preserve"> (using 2014 data)</w:t>
      </w:r>
      <w:r w:rsidR="00650A72" w:rsidRPr="00650A72">
        <w:rPr>
          <w:rFonts w:asciiTheme="majorHAnsi" w:hAnsiTheme="majorHAnsi"/>
        </w:rPr>
        <w:t xml:space="preserve"> </w:t>
      </w:r>
      <w:r w:rsidR="00650A72">
        <w:rPr>
          <w:rFonts w:asciiTheme="majorHAnsi" w:hAnsiTheme="majorHAnsi"/>
        </w:rPr>
        <w:t>from February-March 2016.</w:t>
      </w:r>
    </w:p>
    <w:p w14:paraId="0DD74E71" w14:textId="77777777" w:rsidR="00650A72" w:rsidRDefault="00650A72" w:rsidP="00A93B42">
      <w:pPr>
        <w:rPr>
          <w:rFonts w:asciiTheme="majorHAnsi" w:hAnsiTheme="majorHAnsi"/>
        </w:rPr>
      </w:pPr>
    </w:p>
    <w:p w14:paraId="60763A7F" w14:textId="0584A2E6" w:rsidR="00650A72" w:rsidRDefault="00650A72" w:rsidP="00A93B42">
      <w:pPr>
        <w:pStyle w:val="AMIABodyText"/>
        <w:spacing w:after="0"/>
        <w:jc w:val="left"/>
        <w:rPr>
          <w:rFonts w:asciiTheme="majorHAnsi" w:hAnsiTheme="majorHAnsi"/>
          <w:sz w:val="24"/>
          <w:szCs w:val="24"/>
        </w:rPr>
      </w:pPr>
      <w:r w:rsidRPr="00650A72">
        <w:rPr>
          <w:rFonts w:asciiTheme="majorHAnsi" w:hAnsiTheme="majorHAnsi"/>
          <w:sz w:val="24"/>
          <w:szCs w:val="24"/>
        </w:rPr>
        <w:t>The review consisted of a non-systematic literature review and semi-structured interviews of individuals and organizations working on eHealth in LMIC. While the review focused on LMIC, data</w:t>
      </w:r>
      <w:r>
        <w:rPr>
          <w:rFonts w:asciiTheme="majorHAnsi" w:hAnsiTheme="majorHAnsi"/>
          <w:sz w:val="24"/>
          <w:szCs w:val="24"/>
        </w:rPr>
        <w:t xml:space="preserve"> were also collected</w:t>
      </w:r>
      <w:r w:rsidRPr="00650A72">
        <w:rPr>
          <w:rFonts w:asciiTheme="majorHAnsi" w:hAnsiTheme="majorHAnsi"/>
          <w:sz w:val="24"/>
          <w:szCs w:val="24"/>
        </w:rPr>
        <w:t xml:space="preserve"> from high-income countries to determine if there were lessons learned that could be applied in LMIC settings</w:t>
      </w:r>
      <w:r w:rsidR="00F2176C">
        <w:rPr>
          <w:rFonts w:asciiTheme="majorHAnsi" w:hAnsiTheme="majorHAnsi"/>
          <w:sz w:val="24"/>
          <w:szCs w:val="24"/>
        </w:rPr>
        <w:t xml:space="preserve"> (e.g., Canada, Australia, the EU, New Zealand)</w:t>
      </w:r>
      <w:r w:rsidR="00152D04">
        <w:rPr>
          <w:rFonts w:asciiTheme="majorHAnsi" w:hAnsiTheme="majorHAnsi"/>
          <w:sz w:val="24"/>
          <w:szCs w:val="24"/>
        </w:rPr>
        <w:t>. In particular, the author gathered a relatively significant amount of information from the United States due to the nature of the author’s affiliations with U.S. stakeholders.</w:t>
      </w:r>
    </w:p>
    <w:p w14:paraId="39260ADC" w14:textId="77777777" w:rsidR="00A93B42" w:rsidRPr="00650A72" w:rsidRDefault="00A93B42" w:rsidP="00A93B42">
      <w:pPr>
        <w:pStyle w:val="AMIABodyText"/>
        <w:spacing w:after="0"/>
        <w:jc w:val="left"/>
        <w:rPr>
          <w:rFonts w:asciiTheme="majorHAnsi" w:hAnsiTheme="majorHAnsi"/>
          <w:sz w:val="24"/>
          <w:szCs w:val="24"/>
        </w:rPr>
      </w:pPr>
    </w:p>
    <w:p w14:paraId="32AF073C" w14:textId="50D2E4F5" w:rsidR="00650A72" w:rsidRDefault="00650A72" w:rsidP="00A93B42">
      <w:pPr>
        <w:pStyle w:val="AMIABodyText"/>
        <w:spacing w:after="0"/>
        <w:jc w:val="left"/>
        <w:rPr>
          <w:rFonts w:asciiTheme="majorHAnsi" w:hAnsiTheme="majorHAnsi"/>
          <w:sz w:val="24"/>
          <w:szCs w:val="24"/>
        </w:rPr>
      </w:pPr>
      <w:r w:rsidRPr="00650A72">
        <w:rPr>
          <w:rFonts w:asciiTheme="majorHAnsi" w:hAnsiTheme="majorHAnsi"/>
          <w:sz w:val="24"/>
          <w:szCs w:val="24"/>
        </w:rPr>
        <w:t>For the literature review, published literature</w:t>
      </w:r>
      <w:r w:rsidR="00E429D5">
        <w:rPr>
          <w:rFonts w:asciiTheme="majorHAnsi" w:hAnsiTheme="majorHAnsi"/>
          <w:sz w:val="24"/>
          <w:szCs w:val="24"/>
        </w:rPr>
        <w:t xml:space="preserve"> </w:t>
      </w:r>
      <w:r w:rsidRPr="00650A72">
        <w:rPr>
          <w:rFonts w:asciiTheme="majorHAnsi" w:hAnsiTheme="majorHAnsi"/>
          <w:sz w:val="24"/>
          <w:szCs w:val="24"/>
        </w:rPr>
        <w:t>indexed in PUBMED and MEDLINE</w:t>
      </w:r>
      <w:r w:rsidR="00E429D5">
        <w:rPr>
          <w:rFonts w:asciiTheme="majorHAnsi" w:hAnsiTheme="majorHAnsi"/>
          <w:sz w:val="24"/>
          <w:szCs w:val="24"/>
        </w:rPr>
        <w:t xml:space="preserve"> was identified</w:t>
      </w:r>
      <w:r w:rsidRPr="00650A72">
        <w:rPr>
          <w:rFonts w:asciiTheme="majorHAnsi" w:hAnsiTheme="majorHAnsi"/>
          <w:sz w:val="24"/>
          <w:szCs w:val="24"/>
        </w:rPr>
        <w:t xml:space="preserve"> using keywords “low- and middle income country,” “health information exchange,” “interoperability,” “big data,” “policy,” and “governance.” </w:t>
      </w:r>
      <w:r w:rsidR="00E429D5">
        <w:rPr>
          <w:rFonts w:asciiTheme="majorHAnsi" w:hAnsiTheme="majorHAnsi"/>
          <w:sz w:val="24"/>
          <w:szCs w:val="24"/>
        </w:rPr>
        <w:t>A</w:t>
      </w:r>
      <w:r w:rsidRPr="00650A72">
        <w:rPr>
          <w:rFonts w:asciiTheme="majorHAnsi" w:hAnsiTheme="majorHAnsi"/>
          <w:sz w:val="24"/>
          <w:szCs w:val="24"/>
        </w:rPr>
        <w:t xml:space="preserve">rticles referenced by the published literature as well as the gray literature including countries’ eHealth strategies, legislation, and other </w:t>
      </w:r>
      <w:r w:rsidR="00E429D5">
        <w:rPr>
          <w:rFonts w:asciiTheme="majorHAnsi" w:hAnsiTheme="majorHAnsi"/>
          <w:sz w:val="24"/>
          <w:szCs w:val="24"/>
        </w:rPr>
        <w:t>policies and procedures</w:t>
      </w:r>
      <w:r w:rsidRPr="00650A72">
        <w:rPr>
          <w:rFonts w:asciiTheme="majorHAnsi" w:hAnsiTheme="majorHAnsi"/>
          <w:sz w:val="24"/>
          <w:szCs w:val="24"/>
        </w:rPr>
        <w:t xml:space="preserve"> relating to HIE</w:t>
      </w:r>
      <w:r w:rsidR="00E429D5">
        <w:rPr>
          <w:rFonts w:asciiTheme="majorHAnsi" w:hAnsiTheme="majorHAnsi"/>
          <w:sz w:val="24"/>
          <w:szCs w:val="24"/>
        </w:rPr>
        <w:t xml:space="preserve"> were also reviewed</w:t>
      </w:r>
      <w:r w:rsidRPr="00650A72">
        <w:rPr>
          <w:rFonts w:asciiTheme="majorHAnsi" w:hAnsiTheme="majorHAnsi"/>
          <w:sz w:val="24"/>
          <w:szCs w:val="24"/>
        </w:rPr>
        <w:t xml:space="preserve">. </w:t>
      </w:r>
    </w:p>
    <w:p w14:paraId="037B775D" w14:textId="77777777" w:rsidR="00A93B42" w:rsidRPr="00650A72" w:rsidRDefault="00A93B42" w:rsidP="00A93B42">
      <w:pPr>
        <w:pStyle w:val="AMIABodyText"/>
        <w:spacing w:after="0"/>
        <w:jc w:val="left"/>
        <w:rPr>
          <w:rFonts w:asciiTheme="majorHAnsi" w:hAnsiTheme="majorHAnsi"/>
          <w:sz w:val="24"/>
          <w:szCs w:val="24"/>
        </w:rPr>
      </w:pPr>
    </w:p>
    <w:p w14:paraId="6D41D2F0" w14:textId="58007B05" w:rsidR="00C05CF5" w:rsidRDefault="00650A72" w:rsidP="00A93B42">
      <w:pPr>
        <w:pStyle w:val="AMIABodyText"/>
        <w:spacing w:after="0"/>
        <w:jc w:val="left"/>
        <w:rPr>
          <w:rFonts w:asciiTheme="majorHAnsi" w:hAnsiTheme="majorHAnsi"/>
          <w:sz w:val="24"/>
          <w:szCs w:val="24"/>
        </w:rPr>
      </w:pPr>
      <w:r w:rsidRPr="00650A72">
        <w:rPr>
          <w:rFonts w:asciiTheme="majorHAnsi" w:hAnsiTheme="majorHAnsi"/>
          <w:sz w:val="24"/>
          <w:szCs w:val="24"/>
        </w:rPr>
        <w:t>For the semi-structured interviews, individuals working in LMIC in the OpenHIE community</w:t>
      </w:r>
      <w:r w:rsidR="00F10B11">
        <w:rPr>
          <w:rFonts w:asciiTheme="majorHAnsi" w:hAnsiTheme="majorHAnsi"/>
          <w:sz w:val="24"/>
          <w:szCs w:val="24"/>
        </w:rPr>
        <w:t xml:space="preserve"> known to be familiar with issues of governance and data use</w:t>
      </w:r>
      <w:r w:rsidR="00CE26E8">
        <w:rPr>
          <w:rFonts w:asciiTheme="majorHAnsi" w:hAnsiTheme="majorHAnsi"/>
          <w:sz w:val="24"/>
          <w:szCs w:val="24"/>
        </w:rPr>
        <w:t xml:space="preserve"> were contacted</w:t>
      </w:r>
      <w:r w:rsidRPr="00650A72">
        <w:rPr>
          <w:rFonts w:asciiTheme="majorHAnsi" w:hAnsiTheme="majorHAnsi"/>
          <w:sz w:val="24"/>
          <w:szCs w:val="24"/>
        </w:rPr>
        <w:t xml:space="preserve">. </w:t>
      </w:r>
      <w:r w:rsidR="00F10B11">
        <w:rPr>
          <w:rFonts w:asciiTheme="majorHAnsi" w:hAnsiTheme="majorHAnsi"/>
          <w:sz w:val="24"/>
          <w:szCs w:val="24"/>
        </w:rPr>
        <w:t>Individuals</w:t>
      </w:r>
      <w:r w:rsidRPr="00650A72">
        <w:rPr>
          <w:rFonts w:asciiTheme="majorHAnsi" w:hAnsiTheme="majorHAnsi"/>
          <w:sz w:val="24"/>
          <w:szCs w:val="24"/>
        </w:rPr>
        <w:t xml:space="preserve"> were invited to hour-long semi-structured interviews regarding </w:t>
      </w:r>
      <w:r w:rsidR="00E025A6">
        <w:rPr>
          <w:rFonts w:asciiTheme="majorHAnsi" w:hAnsiTheme="majorHAnsi"/>
          <w:sz w:val="24"/>
          <w:szCs w:val="24"/>
        </w:rPr>
        <w:t>policies and procedures</w:t>
      </w:r>
      <w:r w:rsidRPr="00650A72">
        <w:rPr>
          <w:rFonts w:asciiTheme="majorHAnsi" w:hAnsiTheme="majorHAnsi"/>
          <w:sz w:val="24"/>
          <w:szCs w:val="24"/>
        </w:rPr>
        <w:t xml:space="preserve">; data ownership, sharing, aggregation, re-use; governance; data use and sharing agreements; key principles for HIE; and country-specific use cases for HIE. </w:t>
      </w:r>
      <w:r w:rsidR="00CF15E2">
        <w:rPr>
          <w:rFonts w:asciiTheme="majorHAnsi" w:hAnsiTheme="majorHAnsi"/>
          <w:sz w:val="24"/>
          <w:szCs w:val="24"/>
        </w:rPr>
        <w:t>R</w:t>
      </w:r>
      <w:r w:rsidRPr="00650A72">
        <w:rPr>
          <w:rFonts w:asciiTheme="majorHAnsi" w:hAnsiTheme="majorHAnsi"/>
          <w:sz w:val="24"/>
          <w:szCs w:val="24"/>
        </w:rPr>
        <w:t>ecommendations for additional LMIC contacts</w:t>
      </w:r>
      <w:r w:rsidR="00CF15E2">
        <w:rPr>
          <w:rFonts w:asciiTheme="majorHAnsi" w:hAnsiTheme="majorHAnsi"/>
          <w:sz w:val="24"/>
          <w:szCs w:val="24"/>
        </w:rPr>
        <w:t xml:space="preserve"> were sought</w:t>
      </w:r>
      <w:r w:rsidRPr="00650A72">
        <w:rPr>
          <w:rFonts w:asciiTheme="majorHAnsi" w:hAnsiTheme="majorHAnsi"/>
          <w:sz w:val="24"/>
          <w:szCs w:val="24"/>
        </w:rPr>
        <w:t xml:space="preserve"> from the initial experts </w:t>
      </w:r>
      <w:r w:rsidR="00CF15E2">
        <w:rPr>
          <w:rFonts w:asciiTheme="majorHAnsi" w:hAnsiTheme="majorHAnsi"/>
          <w:sz w:val="24"/>
          <w:szCs w:val="24"/>
        </w:rPr>
        <w:t xml:space="preserve">in order </w:t>
      </w:r>
      <w:r w:rsidR="005534AC">
        <w:rPr>
          <w:rFonts w:asciiTheme="majorHAnsi" w:hAnsiTheme="majorHAnsi"/>
          <w:sz w:val="24"/>
          <w:szCs w:val="24"/>
        </w:rPr>
        <w:t xml:space="preserve">to </w:t>
      </w:r>
      <w:r w:rsidR="00CF15E2">
        <w:rPr>
          <w:rFonts w:asciiTheme="majorHAnsi" w:hAnsiTheme="majorHAnsi"/>
          <w:sz w:val="24"/>
          <w:szCs w:val="24"/>
        </w:rPr>
        <w:t>make</w:t>
      </w:r>
      <w:r w:rsidRPr="00650A72">
        <w:rPr>
          <w:rFonts w:asciiTheme="majorHAnsi" w:hAnsiTheme="majorHAnsi"/>
          <w:sz w:val="24"/>
          <w:szCs w:val="24"/>
        </w:rPr>
        <w:t xml:space="preserve"> a good faith effort to represent all regions of the globe. While an exhaustive review of every LMIC was not performed, </w:t>
      </w:r>
      <w:r w:rsidR="00CF15E2">
        <w:rPr>
          <w:rFonts w:asciiTheme="majorHAnsi" w:hAnsiTheme="majorHAnsi"/>
          <w:sz w:val="24"/>
          <w:szCs w:val="24"/>
        </w:rPr>
        <w:t xml:space="preserve">the goal was to provide </w:t>
      </w:r>
      <w:r w:rsidRPr="00650A72">
        <w:rPr>
          <w:rFonts w:asciiTheme="majorHAnsi" w:hAnsiTheme="majorHAnsi"/>
          <w:sz w:val="24"/>
          <w:szCs w:val="24"/>
        </w:rPr>
        <w:t>a snapshot of HIE in regions across the globe that could inform key focal areas globally.</w:t>
      </w:r>
    </w:p>
    <w:p w14:paraId="329ECB4E" w14:textId="77777777" w:rsidR="00A93B42" w:rsidRPr="00A93B42" w:rsidRDefault="00A93B42" w:rsidP="00A93B42">
      <w:pPr>
        <w:pStyle w:val="AMIABodyText"/>
        <w:spacing w:after="0"/>
        <w:jc w:val="left"/>
        <w:rPr>
          <w:rFonts w:asciiTheme="majorHAnsi" w:hAnsiTheme="majorHAnsi"/>
          <w:sz w:val="24"/>
          <w:szCs w:val="24"/>
        </w:rPr>
      </w:pPr>
    </w:p>
    <w:p w14:paraId="14EA9A8E" w14:textId="6BFBF712" w:rsidR="00A93B42" w:rsidRDefault="00A93B42" w:rsidP="00A93B42">
      <w:pPr>
        <w:rPr>
          <w:rFonts w:asciiTheme="majorHAnsi" w:hAnsiTheme="majorHAnsi"/>
        </w:rPr>
      </w:pPr>
      <w:r>
        <w:rPr>
          <w:rFonts w:asciiTheme="majorHAnsi" w:hAnsiTheme="majorHAnsi"/>
        </w:rPr>
        <w:t xml:space="preserve">These methods yielded information on </w:t>
      </w:r>
      <w:r w:rsidR="005D7985">
        <w:rPr>
          <w:rFonts w:asciiTheme="majorHAnsi" w:hAnsiTheme="majorHAnsi"/>
        </w:rPr>
        <w:t>2</w:t>
      </w:r>
      <w:r w:rsidR="00242A9A">
        <w:rPr>
          <w:rFonts w:asciiTheme="majorHAnsi" w:hAnsiTheme="majorHAnsi"/>
        </w:rPr>
        <w:t>8</w:t>
      </w:r>
      <w:r w:rsidR="005D7985">
        <w:rPr>
          <w:rFonts w:asciiTheme="majorHAnsi" w:hAnsiTheme="majorHAnsi"/>
        </w:rPr>
        <w:t xml:space="preserve"> </w:t>
      </w:r>
      <w:r>
        <w:rPr>
          <w:rFonts w:asciiTheme="majorHAnsi" w:hAnsiTheme="majorHAnsi"/>
        </w:rPr>
        <w:t xml:space="preserve">LMIC countries and one regional network (the </w:t>
      </w:r>
      <w:hyperlink r:id="rId19" w:history="1">
        <w:r w:rsidRPr="00987DDA">
          <w:rPr>
            <w:rStyle w:val="Hyperlink"/>
            <w:rFonts w:asciiTheme="majorHAnsi" w:hAnsiTheme="majorHAnsi"/>
          </w:rPr>
          <w:t>Asia eHealth Information Network</w:t>
        </w:r>
      </w:hyperlink>
      <w:r>
        <w:rPr>
          <w:rFonts w:asciiTheme="majorHAnsi" w:hAnsiTheme="majorHAnsi"/>
        </w:rPr>
        <w:t xml:space="preserve">). </w:t>
      </w:r>
      <w:r w:rsidR="00C679B9">
        <w:rPr>
          <w:rFonts w:asciiTheme="majorHAnsi" w:hAnsiTheme="majorHAnsi"/>
        </w:rPr>
        <w:t>The</w:t>
      </w:r>
      <w:r>
        <w:rPr>
          <w:rFonts w:asciiTheme="majorHAnsi" w:hAnsiTheme="majorHAnsi"/>
        </w:rPr>
        <w:t xml:space="preserve"> data collected for each country varie</w:t>
      </w:r>
      <w:r w:rsidR="00E176C8">
        <w:rPr>
          <w:rFonts w:asciiTheme="majorHAnsi" w:hAnsiTheme="majorHAnsi"/>
        </w:rPr>
        <w:t>d</w:t>
      </w:r>
      <w:r>
        <w:rPr>
          <w:rFonts w:asciiTheme="majorHAnsi" w:hAnsiTheme="majorHAnsi"/>
        </w:rPr>
        <w:t xml:space="preserve"> in completeness. For example, some informants were able to address every issue area while others could speak to one or a few issues depending on their experience. The information gathered represent</w:t>
      </w:r>
      <w:r w:rsidR="008F1C1E">
        <w:rPr>
          <w:rFonts w:asciiTheme="majorHAnsi" w:hAnsiTheme="majorHAnsi"/>
        </w:rPr>
        <w:t>s</w:t>
      </w:r>
      <w:r>
        <w:rPr>
          <w:rFonts w:asciiTheme="majorHAnsi" w:hAnsiTheme="majorHAnsi"/>
        </w:rPr>
        <w:t xml:space="preserve"> a combination of “in the field” experiences as well as perspectives from </w:t>
      </w:r>
      <w:r w:rsidR="00CB60D4">
        <w:rPr>
          <w:rFonts w:asciiTheme="majorHAnsi" w:hAnsiTheme="majorHAnsi"/>
        </w:rPr>
        <w:t>some individuals working</w:t>
      </w:r>
      <w:r w:rsidR="009E2F90">
        <w:rPr>
          <w:rFonts w:asciiTheme="majorHAnsi" w:hAnsiTheme="majorHAnsi"/>
        </w:rPr>
        <w:t xml:space="preserve"> </w:t>
      </w:r>
      <w:r w:rsidR="00C679B9">
        <w:rPr>
          <w:rFonts w:asciiTheme="majorHAnsi" w:hAnsiTheme="majorHAnsi"/>
        </w:rPr>
        <w:t xml:space="preserve">within their </w:t>
      </w:r>
      <w:r>
        <w:rPr>
          <w:rFonts w:asciiTheme="majorHAnsi" w:hAnsiTheme="majorHAnsi"/>
        </w:rPr>
        <w:t>countries’ Ministries of Health (MoH).</w:t>
      </w:r>
      <w:r w:rsidR="00CB60D4">
        <w:rPr>
          <w:rFonts w:asciiTheme="majorHAnsi" w:hAnsiTheme="majorHAnsi"/>
        </w:rPr>
        <w:t xml:space="preserve"> </w:t>
      </w:r>
      <w:r w:rsidR="00CB60D4" w:rsidRPr="001044F2">
        <w:rPr>
          <w:rFonts w:asciiTheme="majorHAnsi" w:hAnsiTheme="majorHAnsi"/>
          <w:b/>
        </w:rPr>
        <w:t xml:space="preserve">However, this </w:t>
      </w:r>
      <w:r w:rsidR="00C679B9" w:rsidRPr="001044F2">
        <w:rPr>
          <w:rFonts w:asciiTheme="majorHAnsi" w:hAnsiTheme="majorHAnsi"/>
          <w:b/>
        </w:rPr>
        <w:t xml:space="preserve">brief </w:t>
      </w:r>
      <w:r w:rsidR="00CB60D4" w:rsidRPr="001044F2">
        <w:rPr>
          <w:rFonts w:asciiTheme="majorHAnsi" w:hAnsiTheme="majorHAnsi"/>
          <w:b/>
        </w:rPr>
        <w:t>does not represent an</w:t>
      </w:r>
      <w:r w:rsidR="00C679B9" w:rsidRPr="001044F2">
        <w:rPr>
          <w:rFonts w:asciiTheme="majorHAnsi" w:hAnsiTheme="majorHAnsi"/>
          <w:b/>
        </w:rPr>
        <w:t>y</w:t>
      </w:r>
      <w:r w:rsidR="00CB60D4" w:rsidRPr="001044F2">
        <w:rPr>
          <w:rFonts w:asciiTheme="majorHAnsi" w:hAnsiTheme="majorHAnsi"/>
          <w:b/>
        </w:rPr>
        <w:t xml:space="preserve"> official </w:t>
      </w:r>
      <w:r w:rsidR="00C679B9" w:rsidRPr="001044F2">
        <w:rPr>
          <w:rFonts w:asciiTheme="majorHAnsi" w:hAnsiTheme="majorHAnsi"/>
          <w:b/>
        </w:rPr>
        <w:t>countr</w:t>
      </w:r>
      <w:r w:rsidR="00714609" w:rsidRPr="001044F2">
        <w:rPr>
          <w:rFonts w:asciiTheme="majorHAnsi" w:hAnsiTheme="majorHAnsi"/>
          <w:b/>
        </w:rPr>
        <w:t>y’s</w:t>
      </w:r>
      <w:r w:rsidR="00C679B9" w:rsidRPr="001044F2">
        <w:rPr>
          <w:rFonts w:asciiTheme="majorHAnsi" w:hAnsiTheme="majorHAnsi"/>
          <w:b/>
        </w:rPr>
        <w:t xml:space="preserve"> </w:t>
      </w:r>
      <w:r w:rsidR="00CB60D4" w:rsidRPr="001044F2">
        <w:rPr>
          <w:rFonts w:asciiTheme="majorHAnsi" w:hAnsiTheme="majorHAnsi"/>
          <w:b/>
        </w:rPr>
        <w:t>MoH perspective.</w:t>
      </w:r>
    </w:p>
    <w:p w14:paraId="2B4A4C4A" w14:textId="77777777" w:rsidR="00A86C8C" w:rsidRDefault="00A86C8C" w:rsidP="00A93B42">
      <w:pPr>
        <w:rPr>
          <w:rFonts w:asciiTheme="majorHAnsi" w:hAnsiTheme="majorHAnsi"/>
        </w:rPr>
      </w:pPr>
    </w:p>
    <w:p w14:paraId="5C5D7CC3" w14:textId="633E41B2" w:rsidR="00A86C8C" w:rsidRDefault="00A86C8C" w:rsidP="00A93B42">
      <w:pPr>
        <w:rPr>
          <w:rFonts w:asciiTheme="majorHAnsi" w:hAnsiTheme="majorHAnsi"/>
        </w:rPr>
      </w:pPr>
      <w:r>
        <w:rPr>
          <w:rFonts w:asciiTheme="majorHAnsi" w:hAnsiTheme="majorHAnsi"/>
        </w:rPr>
        <w:t xml:space="preserve">Table 1 provides the countries </w:t>
      </w:r>
      <w:r w:rsidR="00D2180F">
        <w:rPr>
          <w:rFonts w:asciiTheme="majorHAnsi" w:hAnsiTheme="majorHAnsi"/>
        </w:rPr>
        <w:t xml:space="preserve">covered </w:t>
      </w:r>
      <w:r>
        <w:rPr>
          <w:rFonts w:asciiTheme="majorHAnsi" w:hAnsiTheme="majorHAnsi"/>
        </w:rPr>
        <w:t>in this review and the proportion of the LMIC in the respective region.</w:t>
      </w:r>
      <w:r w:rsidR="00FF437B">
        <w:rPr>
          <w:rFonts w:asciiTheme="majorHAnsi" w:hAnsiTheme="majorHAnsi"/>
        </w:rPr>
        <w:t xml:space="preserve"> In total, </w:t>
      </w:r>
      <w:r w:rsidR="005D7985">
        <w:rPr>
          <w:rFonts w:asciiTheme="majorHAnsi" w:hAnsiTheme="majorHAnsi"/>
        </w:rPr>
        <w:t>21</w:t>
      </w:r>
      <w:r w:rsidR="00FF437B">
        <w:rPr>
          <w:rFonts w:asciiTheme="majorHAnsi" w:hAnsiTheme="majorHAnsi"/>
        </w:rPr>
        <w:t xml:space="preserve">% of all LMIC </w:t>
      </w:r>
      <w:r w:rsidR="00B310F6">
        <w:rPr>
          <w:rFonts w:asciiTheme="majorHAnsi" w:hAnsiTheme="majorHAnsi"/>
        </w:rPr>
        <w:t xml:space="preserve">defined by the World Bank </w:t>
      </w:r>
      <w:r w:rsidR="008646E3">
        <w:rPr>
          <w:rFonts w:asciiTheme="majorHAnsi" w:hAnsiTheme="majorHAnsi"/>
        </w:rPr>
        <w:t>representing 45% of the total population</w:t>
      </w:r>
      <w:r w:rsidR="008E4409">
        <w:rPr>
          <w:rFonts w:asciiTheme="majorHAnsi" w:hAnsiTheme="majorHAnsi"/>
        </w:rPr>
        <w:t xml:space="preserve"> in LMIC</w:t>
      </w:r>
      <w:r w:rsidR="008646E3">
        <w:rPr>
          <w:rFonts w:asciiTheme="majorHAnsi" w:hAnsiTheme="majorHAnsi"/>
        </w:rPr>
        <w:t xml:space="preserve"> </w:t>
      </w:r>
      <w:r w:rsidR="00FF437B">
        <w:rPr>
          <w:rFonts w:asciiTheme="majorHAnsi" w:hAnsiTheme="majorHAnsi"/>
        </w:rPr>
        <w:t xml:space="preserve">were covered </w:t>
      </w:r>
      <w:r w:rsidR="008646E3">
        <w:rPr>
          <w:rFonts w:asciiTheme="majorHAnsi" w:hAnsiTheme="majorHAnsi"/>
        </w:rPr>
        <w:t xml:space="preserve">in </w:t>
      </w:r>
      <w:r w:rsidR="00FF437B">
        <w:rPr>
          <w:rFonts w:asciiTheme="majorHAnsi" w:hAnsiTheme="majorHAnsi"/>
        </w:rPr>
        <w:t>this review.</w:t>
      </w:r>
    </w:p>
    <w:p w14:paraId="233E787A" w14:textId="77777777" w:rsidR="00E90599" w:rsidRDefault="00E90599" w:rsidP="00A9681D">
      <w:pPr>
        <w:rPr>
          <w:rFonts w:asciiTheme="majorHAnsi" w:hAnsiTheme="majorHAnsi"/>
        </w:rPr>
      </w:pPr>
    </w:p>
    <w:p w14:paraId="40777B3C" w14:textId="331BED57" w:rsidR="00AF6DE9" w:rsidRDefault="00AF6DE9" w:rsidP="00A9681D">
      <w:pPr>
        <w:rPr>
          <w:rFonts w:asciiTheme="majorHAnsi" w:hAnsiTheme="majorHAnsi"/>
        </w:rPr>
      </w:pPr>
    </w:p>
    <w:p w14:paraId="42BF8D88" w14:textId="77777777" w:rsidR="00AF6DE9" w:rsidRDefault="00AF6DE9" w:rsidP="00A9681D">
      <w:pPr>
        <w:rPr>
          <w:rFonts w:asciiTheme="majorHAnsi" w:hAnsiTheme="majorHAnsi"/>
        </w:rPr>
      </w:pPr>
    </w:p>
    <w:p w14:paraId="49A560FD" w14:textId="77777777" w:rsidR="00AF6DE9" w:rsidRDefault="00AF6DE9" w:rsidP="00A9681D">
      <w:pPr>
        <w:rPr>
          <w:rFonts w:asciiTheme="majorHAnsi" w:hAnsiTheme="majorHAnsi"/>
        </w:rPr>
      </w:pPr>
    </w:p>
    <w:p w14:paraId="1D5F1BE4" w14:textId="77777777" w:rsidR="008646E3" w:rsidRDefault="008646E3" w:rsidP="00A93B42">
      <w:pPr>
        <w:spacing w:after="120"/>
        <w:rPr>
          <w:rFonts w:asciiTheme="majorHAnsi" w:hAnsiTheme="majorHAnsi"/>
          <w:b/>
        </w:rPr>
      </w:pPr>
    </w:p>
    <w:p w14:paraId="2CD1382F" w14:textId="6DD51382" w:rsidR="00E90599" w:rsidRPr="00A93B42" w:rsidRDefault="00E90599" w:rsidP="00A93B42">
      <w:pPr>
        <w:spacing w:after="120"/>
        <w:rPr>
          <w:rFonts w:asciiTheme="majorHAnsi" w:hAnsiTheme="majorHAnsi"/>
          <w:b/>
        </w:rPr>
      </w:pPr>
      <w:r>
        <w:rPr>
          <w:rFonts w:asciiTheme="majorHAnsi" w:hAnsiTheme="majorHAnsi"/>
          <w:b/>
        </w:rPr>
        <w:t xml:space="preserve">Table 1. </w:t>
      </w:r>
      <w:r w:rsidRPr="009F10BA">
        <w:rPr>
          <w:rFonts w:asciiTheme="majorHAnsi" w:hAnsiTheme="majorHAnsi"/>
          <w:b/>
        </w:rPr>
        <w:t xml:space="preserve">LMIC Countries </w:t>
      </w:r>
      <w:r w:rsidR="00A86C8C">
        <w:rPr>
          <w:rFonts w:asciiTheme="majorHAnsi" w:hAnsiTheme="majorHAnsi"/>
          <w:b/>
        </w:rPr>
        <w:t xml:space="preserve">and </w:t>
      </w:r>
      <w:r w:rsidR="00785800">
        <w:rPr>
          <w:rFonts w:asciiTheme="majorHAnsi" w:hAnsiTheme="majorHAnsi"/>
          <w:b/>
        </w:rPr>
        <w:t>Proportion of LMIC Reviewed by Region</w:t>
      </w:r>
      <w:r w:rsidR="003A12CD">
        <w:rPr>
          <w:rStyle w:val="FootnoteReference"/>
          <w:rFonts w:asciiTheme="majorHAnsi" w:hAnsiTheme="majorHAnsi"/>
          <w:b/>
        </w:rPr>
        <w:footnoteReference w:id="1"/>
      </w:r>
    </w:p>
    <w:tbl>
      <w:tblPr>
        <w:tblStyle w:val="LightShading"/>
        <w:tblW w:w="0" w:type="auto"/>
        <w:jc w:val="center"/>
        <w:tblLook w:val="04A0" w:firstRow="1" w:lastRow="0" w:firstColumn="1" w:lastColumn="0" w:noHBand="0" w:noVBand="1"/>
      </w:tblPr>
      <w:tblGrid>
        <w:gridCol w:w="1943"/>
        <w:gridCol w:w="1449"/>
        <w:gridCol w:w="1525"/>
        <w:gridCol w:w="1274"/>
        <w:gridCol w:w="1973"/>
      </w:tblGrid>
      <w:tr w:rsidR="005D7985" w:rsidRPr="00A86C8C" w14:paraId="50E09060" w14:textId="77777777" w:rsidTr="006A38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43" w:type="dxa"/>
          </w:tcPr>
          <w:p w14:paraId="44027FA5" w14:textId="51CB2CF7" w:rsidR="005D7985" w:rsidRPr="00A86C8C" w:rsidRDefault="005D7985" w:rsidP="00182602">
            <w:pPr>
              <w:jc w:val="center"/>
              <w:rPr>
                <w:rFonts w:asciiTheme="majorHAnsi" w:hAnsiTheme="majorHAnsi"/>
                <w:sz w:val="22"/>
                <w:szCs w:val="22"/>
              </w:rPr>
            </w:pPr>
            <w:r w:rsidRPr="00A86C8C">
              <w:rPr>
                <w:rFonts w:asciiTheme="majorHAnsi" w:hAnsiTheme="majorHAnsi"/>
                <w:sz w:val="22"/>
                <w:szCs w:val="22"/>
              </w:rPr>
              <w:t>Africa</w:t>
            </w:r>
          </w:p>
          <w:p w14:paraId="1B561E0A" w14:textId="41532450" w:rsidR="005D7985" w:rsidRPr="00A86C8C" w:rsidRDefault="005D7985" w:rsidP="00182602">
            <w:pPr>
              <w:jc w:val="center"/>
              <w:rPr>
                <w:rFonts w:asciiTheme="majorHAnsi" w:hAnsiTheme="majorHAnsi"/>
                <w:b w:val="0"/>
                <w:sz w:val="22"/>
                <w:szCs w:val="22"/>
              </w:rPr>
            </w:pPr>
            <w:r w:rsidRPr="00A86C8C">
              <w:rPr>
                <w:rFonts w:asciiTheme="majorHAnsi" w:hAnsiTheme="majorHAnsi"/>
                <w:b w:val="0"/>
                <w:sz w:val="22"/>
                <w:szCs w:val="22"/>
              </w:rPr>
              <w:t>(n=17)</w:t>
            </w:r>
          </w:p>
          <w:p w14:paraId="7165210A" w14:textId="2DA4EDFA" w:rsidR="005D7985" w:rsidRPr="00A86C8C" w:rsidRDefault="005D7985" w:rsidP="00182602">
            <w:pPr>
              <w:jc w:val="center"/>
              <w:rPr>
                <w:rFonts w:asciiTheme="majorHAnsi" w:hAnsiTheme="majorHAnsi"/>
                <w:sz w:val="22"/>
                <w:szCs w:val="22"/>
              </w:rPr>
            </w:pPr>
            <w:r w:rsidRPr="00A86C8C">
              <w:rPr>
                <w:rFonts w:asciiTheme="majorHAnsi" w:hAnsiTheme="majorHAnsi"/>
                <w:b w:val="0"/>
                <w:sz w:val="22"/>
                <w:szCs w:val="22"/>
              </w:rPr>
              <w:t>(33%)</w:t>
            </w:r>
          </w:p>
        </w:tc>
        <w:tc>
          <w:tcPr>
            <w:tcW w:w="1449" w:type="dxa"/>
          </w:tcPr>
          <w:p w14:paraId="5BB8E601" w14:textId="77777777"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Asia</w:t>
            </w:r>
          </w:p>
          <w:p w14:paraId="5325357D" w14:textId="36BE7BD7"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A86C8C">
              <w:rPr>
                <w:rFonts w:asciiTheme="majorHAnsi" w:hAnsiTheme="majorHAnsi"/>
                <w:b w:val="0"/>
                <w:sz w:val="22"/>
                <w:szCs w:val="22"/>
              </w:rPr>
              <w:t>(n=5)</w:t>
            </w:r>
          </w:p>
          <w:p w14:paraId="4FB15ECA" w14:textId="6FEB7398"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A86C8C">
              <w:rPr>
                <w:rFonts w:asciiTheme="majorHAnsi" w:hAnsiTheme="majorHAnsi"/>
                <w:b w:val="0"/>
                <w:sz w:val="22"/>
                <w:szCs w:val="22"/>
              </w:rPr>
              <w:t>(17%)</w:t>
            </w:r>
          </w:p>
        </w:tc>
        <w:tc>
          <w:tcPr>
            <w:tcW w:w="1525" w:type="dxa"/>
          </w:tcPr>
          <w:p w14:paraId="44A1B70E" w14:textId="77777777"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Central America and Caribbean</w:t>
            </w:r>
          </w:p>
          <w:p w14:paraId="76871B50" w14:textId="77777777"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A86C8C">
              <w:rPr>
                <w:rFonts w:asciiTheme="majorHAnsi" w:hAnsiTheme="majorHAnsi"/>
                <w:b w:val="0"/>
                <w:sz w:val="22"/>
                <w:szCs w:val="22"/>
              </w:rPr>
              <w:t>(n=2)</w:t>
            </w:r>
          </w:p>
          <w:p w14:paraId="628E436C" w14:textId="19552590"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A86C8C">
              <w:rPr>
                <w:rFonts w:asciiTheme="majorHAnsi" w:hAnsiTheme="majorHAnsi"/>
                <w:b w:val="0"/>
                <w:sz w:val="22"/>
                <w:szCs w:val="22"/>
              </w:rPr>
              <w:t>(12%)</w:t>
            </w:r>
          </w:p>
        </w:tc>
        <w:tc>
          <w:tcPr>
            <w:tcW w:w="1274" w:type="dxa"/>
          </w:tcPr>
          <w:p w14:paraId="728ECD64" w14:textId="77777777" w:rsidR="005D7985"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Europe</w:t>
            </w:r>
          </w:p>
          <w:p w14:paraId="6CAA857B" w14:textId="77777777" w:rsidR="005D7985"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Pr>
                <w:rFonts w:asciiTheme="majorHAnsi" w:hAnsiTheme="majorHAnsi"/>
                <w:b w:val="0"/>
                <w:sz w:val="22"/>
                <w:szCs w:val="22"/>
              </w:rPr>
              <w:t>(n=1)</w:t>
            </w:r>
          </w:p>
          <w:p w14:paraId="06BD707D" w14:textId="0E8315ED" w:rsidR="005D7985" w:rsidRPr="00A86C8C"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Pr>
                <w:rFonts w:asciiTheme="majorHAnsi" w:hAnsiTheme="majorHAnsi"/>
                <w:b w:val="0"/>
                <w:sz w:val="22"/>
                <w:szCs w:val="22"/>
              </w:rPr>
              <w:t>(8%)</w:t>
            </w:r>
          </w:p>
        </w:tc>
        <w:tc>
          <w:tcPr>
            <w:tcW w:w="1973" w:type="dxa"/>
          </w:tcPr>
          <w:p w14:paraId="6B31A31F" w14:textId="77777777" w:rsidR="005D7985"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South America</w:t>
            </w:r>
          </w:p>
          <w:p w14:paraId="788CB30C" w14:textId="2029E452" w:rsidR="005D7985" w:rsidRDefault="005D7985" w:rsidP="001826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Pr>
                <w:rFonts w:asciiTheme="majorHAnsi" w:hAnsiTheme="majorHAnsi"/>
                <w:b w:val="0"/>
                <w:sz w:val="22"/>
                <w:szCs w:val="22"/>
              </w:rPr>
              <w:t>(n=3)</w:t>
            </w:r>
          </w:p>
          <w:p w14:paraId="53DC98D9" w14:textId="0228E75F" w:rsidR="005D7985" w:rsidRPr="00A86C8C" w:rsidRDefault="005D7985" w:rsidP="005D798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szCs w:val="22"/>
              </w:rPr>
            </w:pPr>
            <w:r>
              <w:rPr>
                <w:rFonts w:asciiTheme="majorHAnsi" w:hAnsiTheme="majorHAnsi"/>
                <w:b w:val="0"/>
                <w:sz w:val="22"/>
                <w:szCs w:val="22"/>
              </w:rPr>
              <w:t>(43%)</w:t>
            </w:r>
          </w:p>
        </w:tc>
      </w:tr>
      <w:tr w:rsidR="005D7985" w:rsidRPr="00A86C8C" w14:paraId="0BB6E00E"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520FA105" w14:textId="48BDCC4B"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Angola</w:t>
            </w:r>
          </w:p>
        </w:tc>
        <w:tc>
          <w:tcPr>
            <w:tcW w:w="1449" w:type="dxa"/>
          </w:tcPr>
          <w:p w14:paraId="3CA1171B" w14:textId="7837648B"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India</w:t>
            </w:r>
          </w:p>
        </w:tc>
        <w:tc>
          <w:tcPr>
            <w:tcW w:w="1525" w:type="dxa"/>
          </w:tcPr>
          <w:p w14:paraId="0B003BEE" w14:textId="14C0164C"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Haiti</w:t>
            </w:r>
          </w:p>
        </w:tc>
        <w:tc>
          <w:tcPr>
            <w:tcW w:w="1274" w:type="dxa"/>
          </w:tcPr>
          <w:p w14:paraId="2307DA20" w14:textId="0B667D60"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Ukraine</w:t>
            </w:r>
          </w:p>
        </w:tc>
        <w:tc>
          <w:tcPr>
            <w:tcW w:w="1973" w:type="dxa"/>
          </w:tcPr>
          <w:p w14:paraId="00BA7212" w14:textId="5977F70E"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Brazil</w:t>
            </w:r>
          </w:p>
        </w:tc>
      </w:tr>
      <w:tr w:rsidR="005D7985" w:rsidRPr="00A86C8C" w14:paraId="4202CBF8"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01BE1F74" w14:textId="61F5A367"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Cameroon</w:t>
            </w:r>
          </w:p>
        </w:tc>
        <w:tc>
          <w:tcPr>
            <w:tcW w:w="1449" w:type="dxa"/>
          </w:tcPr>
          <w:p w14:paraId="75C9641D" w14:textId="0019221C"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Indonesia</w:t>
            </w:r>
          </w:p>
        </w:tc>
        <w:tc>
          <w:tcPr>
            <w:tcW w:w="1525" w:type="dxa"/>
          </w:tcPr>
          <w:p w14:paraId="4A12B339" w14:textId="282415D6"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Jamaica</w:t>
            </w:r>
          </w:p>
        </w:tc>
        <w:tc>
          <w:tcPr>
            <w:tcW w:w="1274" w:type="dxa"/>
          </w:tcPr>
          <w:p w14:paraId="4A725C43"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5C68F819" w14:textId="7640E939"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Colombia</w:t>
            </w:r>
          </w:p>
        </w:tc>
      </w:tr>
      <w:tr w:rsidR="005D7985" w:rsidRPr="00A86C8C" w14:paraId="2D1884F0"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0057D0B9" w14:textId="47A8670B"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Ghana</w:t>
            </w:r>
          </w:p>
        </w:tc>
        <w:tc>
          <w:tcPr>
            <w:tcW w:w="1449" w:type="dxa"/>
          </w:tcPr>
          <w:p w14:paraId="43EF04B3" w14:textId="5F3E382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Malaysia</w:t>
            </w:r>
          </w:p>
        </w:tc>
        <w:tc>
          <w:tcPr>
            <w:tcW w:w="1525" w:type="dxa"/>
          </w:tcPr>
          <w:p w14:paraId="43942969"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260575F7"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0D847210" w14:textId="3C72F4AC"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Peru</w:t>
            </w:r>
          </w:p>
        </w:tc>
      </w:tr>
      <w:tr w:rsidR="005D7985" w:rsidRPr="00A86C8C" w14:paraId="0FCFA4CA"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20B0BCB6" w14:textId="2285FDDE"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Guinea</w:t>
            </w:r>
          </w:p>
        </w:tc>
        <w:tc>
          <w:tcPr>
            <w:tcW w:w="1449" w:type="dxa"/>
          </w:tcPr>
          <w:p w14:paraId="37445D92" w14:textId="4A2BFE1A"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Philippines</w:t>
            </w:r>
          </w:p>
        </w:tc>
        <w:tc>
          <w:tcPr>
            <w:tcW w:w="1525" w:type="dxa"/>
          </w:tcPr>
          <w:p w14:paraId="54C68081"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5E3CC63A"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3F1E7DDF" w14:textId="2121497F" w:rsidR="005D7985" w:rsidRPr="00A86C8C" w:rsidRDefault="005D7985" w:rsidP="007F753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1C834ACC"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2BF18584" w14:textId="09690492"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Kenya</w:t>
            </w:r>
          </w:p>
        </w:tc>
        <w:tc>
          <w:tcPr>
            <w:tcW w:w="1449" w:type="dxa"/>
          </w:tcPr>
          <w:p w14:paraId="6B9BF244" w14:textId="3A0AC4C8"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86C8C">
              <w:rPr>
                <w:rFonts w:asciiTheme="majorHAnsi" w:hAnsiTheme="majorHAnsi"/>
                <w:sz w:val="22"/>
                <w:szCs w:val="22"/>
              </w:rPr>
              <w:t>Vietnam</w:t>
            </w:r>
          </w:p>
        </w:tc>
        <w:tc>
          <w:tcPr>
            <w:tcW w:w="1525" w:type="dxa"/>
          </w:tcPr>
          <w:p w14:paraId="58AA0852"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0E0E281B"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4015B9BC"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D7985" w:rsidRPr="00A86C8C" w14:paraId="23146A0A"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73D9445B" w14:textId="1CE0FD21"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Lesotho</w:t>
            </w:r>
          </w:p>
        </w:tc>
        <w:tc>
          <w:tcPr>
            <w:tcW w:w="1449" w:type="dxa"/>
          </w:tcPr>
          <w:p w14:paraId="71204580"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525" w:type="dxa"/>
          </w:tcPr>
          <w:p w14:paraId="7E1735CF"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5B783F35"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22B2091D"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6A8E6A58"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6134C691" w14:textId="7E5B9547"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Liberia</w:t>
            </w:r>
          </w:p>
        </w:tc>
        <w:tc>
          <w:tcPr>
            <w:tcW w:w="1449" w:type="dxa"/>
          </w:tcPr>
          <w:p w14:paraId="40B286B6"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525" w:type="dxa"/>
          </w:tcPr>
          <w:p w14:paraId="1BE6CC63"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003BA465"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2A431521"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D7985" w:rsidRPr="00A86C8C" w14:paraId="6CDE4966" w14:textId="77777777" w:rsidTr="006A3840">
        <w:trPr>
          <w:trHeight w:val="279"/>
          <w:jc w:val="center"/>
        </w:trPr>
        <w:tc>
          <w:tcPr>
            <w:cnfStyle w:val="001000000000" w:firstRow="0" w:lastRow="0" w:firstColumn="1" w:lastColumn="0" w:oddVBand="0" w:evenVBand="0" w:oddHBand="0" w:evenHBand="0" w:firstRowFirstColumn="0" w:firstRowLastColumn="0" w:lastRowFirstColumn="0" w:lastRowLastColumn="0"/>
            <w:tcW w:w="1943" w:type="dxa"/>
          </w:tcPr>
          <w:p w14:paraId="486480D4" w14:textId="1A7AD123"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Malawi</w:t>
            </w:r>
          </w:p>
        </w:tc>
        <w:tc>
          <w:tcPr>
            <w:tcW w:w="1449" w:type="dxa"/>
          </w:tcPr>
          <w:p w14:paraId="52AF1D6C"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525" w:type="dxa"/>
          </w:tcPr>
          <w:p w14:paraId="23088FAE"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1A7CB8B7"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1795E77C"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41BE84D5"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26B2C797" w14:textId="74B5E76E"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Mozambique</w:t>
            </w:r>
          </w:p>
        </w:tc>
        <w:tc>
          <w:tcPr>
            <w:tcW w:w="1449" w:type="dxa"/>
          </w:tcPr>
          <w:p w14:paraId="339FB74F"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525" w:type="dxa"/>
          </w:tcPr>
          <w:p w14:paraId="1148282B"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1839C4A1"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54EDCC2C"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D7985" w:rsidRPr="00A86C8C" w14:paraId="117CDDF2"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44FAB8D8" w14:textId="017C5E40"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Nigeria</w:t>
            </w:r>
          </w:p>
        </w:tc>
        <w:tc>
          <w:tcPr>
            <w:tcW w:w="1449" w:type="dxa"/>
          </w:tcPr>
          <w:p w14:paraId="61920BA9"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525" w:type="dxa"/>
          </w:tcPr>
          <w:p w14:paraId="3AD64064"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487108AE"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0B8F3F52"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4EBF4D1B"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7E5B4661" w14:textId="1B387752"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Rwanda</w:t>
            </w:r>
          </w:p>
        </w:tc>
        <w:tc>
          <w:tcPr>
            <w:tcW w:w="1449" w:type="dxa"/>
          </w:tcPr>
          <w:p w14:paraId="0EA803A8"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525" w:type="dxa"/>
          </w:tcPr>
          <w:p w14:paraId="5EA106CA"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628E6D84"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29A58A81"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D7985" w:rsidRPr="00A86C8C" w14:paraId="749EAB9A"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1BFDE146" w14:textId="604655DC"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Sierra Leone</w:t>
            </w:r>
          </w:p>
        </w:tc>
        <w:tc>
          <w:tcPr>
            <w:tcW w:w="1449" w:type="dxa"/>
          </w:tcPr>
          <w:p w14:paraId="75B7F372"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525" w:type="dxa"/>
          </w:tcPr>
          <w:p w14:paraId="2D036562"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76553BF0"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17B42290"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4F4C88CF"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062A231E" w14:textId="2569FB29" w:rsidR="005D7985" w:rsidRPr="00A86C8C" w:rsidRDefault="005D7985" w:rsidP="003A12CD">
            <w:pPr>
              <w:jc w:val="center"/>
              <w:rPr>
                <w:rFonts w:asciiTheme="majorHAnsi" w:hAnsiTheme="majorHAnsi"/>
                <w:b w:val="0"/>
                <w:sz w:val="22"/>
                <w:szCs w:val="22"/>
              </w:rPr>
            </w:pPr>
            <w:r w:rsidRPr="00A86C8C">
              <w:rPr>
                <w:rFonts w:asciiTheme="majorHAnsi" w:hAnsiTheme="majorHAnsi"/>
                <w:b w:val="0"/>
                <w:sz w:val="22"/>
                <w:szCs w:val="22"/>
              </w:rPr>
              <w:t>Somalia</w:t>
            </w:r>
          </w:p>
        </w:tc>
        <w:tc>
          <w:tcPr>
            <w:tcW w:w="1449" w:type="dxa"/>
          </w:tcPr>
          <w:p w14:paraId="1991E63B"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525" w:type="dxa"/>
          </w:tcPr>
          <w:p w14:paraId="0D3A1EFB"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09C349D8"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7AF62092"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D7985" w:rsidRPr="00A86C8C" w14:paraId="214822BA"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46294C22" w14:textId="3B9B8D43"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South Africa</w:t>
            </w:r>
          </w:p>
        </w:tc>
        <w:tc>
          <w:tcPr>
            <w:tcW w:w="1449" w:type="dxa"/>
          </w:tcPr>
          <w:p w14:paraId="395A9383"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525" w:type="dxa"/>
          </w:tcPr>
          <w:p w14:paraId="62D9D64A"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59FEBC95"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2FB3D6E7"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135CC443"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403DA9A9" w14:textId="5987232C"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Tanzania</w:t>
            </w:r>
          </w:p>
        </w:tc>
        <w:tc>
          <w:tcPr>
            <w:tcW w:w="1449" w:type="dxa"/>
          </w:tcPr>
          <w:p w14:paraId="18A280DA"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525" w:type="dxa"/>
          </w:tcPr>
          <w:p w14:paraId="2D35F779"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0A63B35A"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29A0A814"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D7985" w:rsidRPr="00A86C8C" w14:paraId="17F2EA3B" w14:textId="77777777" w:rsidTr="006A3840">
        <w:trPr>
          <w:jc w:val="center"/>
        </w:trPr>
        <w:tc>
          <w:tcPr>
            <w:cnfStyle w:val="001000000000" w:firstRow="0" w:lastRow="0" w:firstColumn="1" w:lastColumn="0" w:oddVBand="0" w:evenVBand="0" w:oddHBand="0" w:evenHBand="0" w:firstRowFirstColumn="0" w:firstRowLastColumn="0" w:lastRowFirstColumn="0" w:lastRowLastColumn="0"/>
            <w:tcW w:w="1943" w:type="dxa"/>
          </w:tcPr>
          <w:p w14:paraId="68E1EC45" w14:textId="305D350A"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Uganda</w:t>
            </w:r>
          </w:p>
        </w:tc>
        <w:tc>
          <w:tcPr>
            <w:tcW w:w="1449" w:type="dxa"/>
          </w:tcPr>
          <w:p w14:paraId="3E31FA2B"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525" w:type="dxa"/>
          </w:tcPr>
          <w:p w14:paraId="1E571B11"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274" w:type="dxa"/>
          </w:tcPr>
          <w:p w14:paraId="0EB60DAE"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973" w:type="dxa"/>
          </w:tcPr>
          <w:p w14:paraId="639CF86A" w14:textId="77777777" w:rsidR="005D7985" w:rsidRPr="00A86C8C" w:rsidRDefault="005D7985" w:rsidP="00117F1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D7985" w:rsidRPr="00A86C8C" w14:paraId="61E407A0" w14:textId="77777777" w:rsidTr="006A3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Pr>
          <w:p w14:paraId="052CEC82" w14:textId="04057F69" w:rsidR="005D7985" w:rsidRPr="00A86C8C" w:rsidRDefault="005D7985" w:rsidP="00117F15">
            <w:pPr>
              <w:jc w:val="center"/>
              <w:rPr>
                <w:rFonts w:asciiTheme="majorHAnsi" w:hAnsiTheme="majorHAnsi"/>
                <w:b w:val="0"/>
                <w:sz w:val="22"/>
                <w:szCs w:val="22"/>
              </w:rPr>
            </w:pPr>
            <w:r w:rsidRPr="00A86C8C">
              <w:rPr>
                <w:rFonts w:asciiTheme="majorHAnsi" w:hAnsiTheme="majorHAnsi"/>
                <w:b w:val="0"/>
                <w:sz w:val="22"/>
                <w:szCs w:val="22"/>
              </w:rPr>
              <w:t>Zimbabwe</w:t>
            </w:r>
          </w:p>
        </w:tc>
        <w:tc>
          <w:tcPr>
            <w:tcW w:w="1449" w:type="dxa"/>
          </w:tcPr>
          <w:p w14:paraId="2779F053"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525" w:type="dxa"/>
          </w:tcPr>
          <w:p w14:paraId="0C05635E"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274" w:type="dxa"/>
          </w:tcPr>
          <w:p w14:paraId="45C1BE00"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973" w:type="dxa"/>
          </w:tcPr>
          <w:p w14:paraId="69EA7053" w14:textId="77777777" w:rsidR="005D7985" w:rsidRPr="00A86C8C" w:rsidRDefault="005D7985" w:rsidP="00117F1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bl>
    <w:p w14:paraId="74929AFA" w14:textId="77777777" w:rsidR="00E90599" w:rsidRDefault="00E90599" w:rsidP="00E90599">
      <w:pPr>
        <w:rPr>
          <w:rFonts w:asciiTheme="majorHAnsi" w:hAnsiTheme="majorHAnsi"/>
        </w:rPr>
      </w:pPr>
    </w:p>
    <w:p w14:paraId="4F6429C8" w14:textId="7E4F3263" w:rsidR="003E688F" w:rsidRDefault="00086B0B" w:rsidP="001661A3">
      <w:pPr>
        <w:rPr>
          <w:rFonts w:asciiTheme="majorHAnsi" w:hAnsiTheme="majorHAnsi"/>
        </w:rPr>
      </w:pPr>
      <w:r>
        <w:rPr>
          <w:rFonts w:asciiTheme="majorHAnsi" w:hAnsiTheme="majorHAnsi"/>
        </w:rPr>
        <w:t xml:space="preserve">This </w:t>
      </w:r>
      <w:r w:rsidR="001661A3">
        <w:rPr>
          <w:rFonts w:asciiTheme="majorHAnsi" w:hAnsiTheme="majorHAnsi"/>
        </w:rPr>
        <w:t xml:space="preserve">was a </w:t>
      </w:r>
      <w:r w:rsidR="006918D8">
        <w:rPr>
          <w:rFonts w:asciiTheme="majorHAnsi" w:hAnsiTheme="majorHAnsi"/>
        </w:rPr>
        <w:t>high-level review</w:t>
      </w:r>
      <w:r w:rsidR="00317ECA">
        <w:rPr>
          <w:rFonts w:asciiTheme="majorHAnsi" w:hAnsiTheme="majorHAnsi"/>
        </w:rPr>
        <w:t xml:space="preserve"> focused on</w:t>
      </w:r>
      <w:r w:rsidR="001661A3">
        <w:rPr>
          <w:rFonts w:asciiTheme="majorHAnsi" w:hAnsiTheme="majorHAnsi"/>
        </w:rPr>
        <w:t xml:space="preserve"> governance and data use issues in particular. Thus</w:t>
      </w:r>
      <w:r w:rsidR="00C679B9">
        <w:rPr>
          <w:rFonts w:asciiTheme="majorHAnsi" w:hAnsiTheme="majorHAnsi"/>
        </w:rPr>
        <w:t xml:space="preserve">, </w:t>
      </w:r>
      <w:r w:rsidR="001661A3">
        <w:rPr>
          <w:rFonts w:asciiTheme="majorHAnsi" w:hAnsiTheme="majorHAnsi"/>
        </w:rPr>
        <w:t>the Key Areas for a framework discussed in Chapter 4</w:t>
      </w:r>
      <w:r>
        <w:rPr>
          <w:rFonts w:asciiTheme="majorHAnsi" w:hAnsiTheme="majorHAnsi"/>
        </w:rPr>
        <w:t xml:space="preserve"> </w:t>
      </w:r>
      <w:r>
        <w:rPr>
          <w:rFonts w:asciiTheme="majorHAnsi" w:hAnsiTheme="majorHAnsi"/>
          <w:color w:val="A6A6A6" w:themeColor="background1" w:themeShade="A6"/>
        </w:rPr>
        <w:t xml:space="preserve">(page </w:t>
      </w:r>
      <w:r>
        <w:rPr>
          <w:rFonts w:asciiTheme="majorHAnsi" w:hAnsiTheme="majorHAnsi"/>
          <w:color w:val="A6A6A6" w:themeColor="background1" w:themeShade="A6"/>
        </w:rPr>
        <w:fldChar w:fldCharType="begin"/>
      </w:r>
      <w:r>
        <w:rPr>
          <w:rFonts w:asciiTheme="majorHAnsi" w:hAnsiTheme="majorHAnsi"/>
          <w:color w:val="A6A6A6" w:themeColor="background1" w:themeShade="A6"/>
        </w:rPr>
        <w:instrText xml:space="preserve"> PAGEREF _Ref445201953 \h </w:instrText>
      </w:r>
      <w:r>
        <w:rPr>
          <w:rFonts w:asciiTheme="majorHAnsi" w:hAnsiTheme="majorHAnsi"/>
          <w:color w:val="A6A6A6" w:themeColor="background1" w:themeShade="A6"/>
        </w:rPr>
      </w:r>
      <w:r>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8</w:t>
      </w:r>
      <w:r>
        <w:rPr>
          <w:rFonts w:asciiTheme="majorHAnsi" w:hAnsiTheme="majorHAnsi"/>
          <w:color w:val="A6A6A6" w:themeColor="background1" w:themeShade="A6"/>
        </w:rPr>
        <w:fldChar w:fldCharType="end"/>
      </w:r>
      <w:r>
        <w:rPr>
          <w:rFonts w:asciiTheme="majorHAnsi" w:hAnsiTheme="majorHAnsi"/>
          <w:color w:val="A6A6A6" w:themeColor="background1" w:themeShade="A6"/>
        </w:rPr>
        <w:t>)</w:t>
      </w:r>
      <w:r w:rsidR="001661A3">
        <w:rPr>
          <w:rFonts w:asciiTheme="majorHAnsi" w:hAnsiTheme="majorHAnsi"/>
        </w:rPr>
        <w:t xml:space="preserve"> feature more detail in the areas of gov</w:t>
      </w:r>
      <w:r w:rsidR="00317ECA">
        <w:rPr>
          <w:rFonts w:asciiTheme="majorHAnsi" w:hAnsiTheme="majorHAnsi"/>
        </w:rPr>
        <w:t>ernance and data use agreements compared to other Key Areas.</w:t>
      </w:r>
    </w:p>
    <w:p w14:paraId="203E1A1B" w14:textId="77777777" w:rsidR="00F8268D" w:rsidRDefault="00F8268D" w:rsidP="001661A3">
      <w:pPr>
        <w:rPr>
          <w:rFonts w:asciiTheme="majorHAnsi" w:hAnsiTheme="majorHAnsi"/>
        </w:rPr>
      </w:pPr>
    </w:p>
    <w:p w14:paraId="097C3077" w14:textId="34C93CDC" w:rsidR="00F8268D" w:rsidRDefault="00F8268D" w:rsidP="001661A3">
      <w:pPr>
        <w:rPr>
          <w:rFonts w:asciiTheme="majorHAnsi" w:hAnsiTheme="majorHAnsi"/>
        </w:rPr>
      </w:pPr>
      <w:r>
        <w:rPr>
          <w:rFonts w:asciiTheme="majorHAnsi" w:hAnsiTheme="majorHAnsi"/>
        </w:rPr>
        <w:t>Last</w:t>
      </w:r>
      <w:r w:rsidR="00C679B9">
        <w:rPr>
          <w:rFonts w:asciiTheme="majorHAnsi" w:hAnsiTheme="majorHAnsi"/>
        </w:rPr>
        <w:t>ly,</w:t>
      </w:r>
      <w:r>
        <w:rPr>
          <w:rFonts w:asciiTheme="majorHAnsi" w:hAnsiTheme="majorHAnsi"/>
        </w:rPr>
        <w:t xml:space="preserve"> this was not an exhaustive or systematic review. Due to the nature of the networking approach taken, it is very likely that policies and procedures exist for certain HIE areas but were not identified due to the review methods</w:t>
      </w:r>
      <w:r w:rsidR="00F653D1">
        <w:rPr>
          <w:rFonts w:asciiTheme="majorHAnsi" w:hAnsiTheme="majorHAnsi"/>
        </w:rPr>
        <w:t>, knowledge areas of the information sources,</w:t>
      </w:r>
      <w:r>
        <w:rPr>
          <w:rFonts w:asciiTheme="majorHAnsi" w:hAnsiTheme="majorHAnsi"/>
        </w:rPr>
        <w:t xml:space="preserve"> and time</w:t>
      </w:r>
      <w:r w:rsidR="00F653D1">
        <w:rPr>
          <w:rFonts w:asciiTheme="majorHAnsi" w:hAnsiTheme="majorHAnsi"/>
        </w:rPr>
        <w:t>frame</w:t>
      </w:r>
      <w:r>
        <w:rPr>
          <w:rFonts w:asciiTheme="majorHAnsi" w:hAnsiTheme="majorHAnsi"/>
        </w:rPr>
        <w:t xml:space="preserve">. Areas where additional information </w:t>
      </w:r>
      <w:r w:rsidR="005C3679">
        <w:rPr>
          <w:rFonts w:asciiTheme="majorHAnsi" w:hAnsiTheme="majorHAnsi"/>
        </w:rPr>
        <w:t xml:space="preserve">or exploration </w:t>
      </w:r>
      <w:r>
        <w:rPr>
          <w:rFonts w:asciiTheme="majorHAnsi" w:hAnsiTheme="majorHAnsi"/>
        </w:rPr>
        <w:t>may be needed are identified in Chapter 6</w:t>
      </w:r>
      <w:r w:rsidR="005668C1">
        <w:rPr>
          <w:rFonts w:asciiTheme="majorHAnsi" w:hAnsiTheme="majorHAnsi"/>
        </w:rPr>
        <w:t xml:space="preserve"> </w:t>
      </w:r>
      <w:r w:rsidR="005668C1" w:rsidRPr="008F0ABB">
        <w:rPr>
          <w:rFonts w:asciiTheme="majorHAnsi" w:hAnsiTheme="majorHAnsi"/>
          <w:color w:val="A6A6A6" w:themeColor="background1" w:themeShade="A6"/>
        </w:rPr>
        <w:t xml:space="preserve">(page </w:t>
      </w:r>
      <w:r w:rsidR="005668C1" w:rsidRPr="008F0ABB">
        <w:rPr>
          <w:rFonts w:asciiTheme="majorHAnsi" w:hAnsiTheme="majorHAnsi"/>
          <w:color w:val="A6A6A6" w:themeColor="background1" w:themeShade="A6"/>
        </w:rPr>
        <w:fldChar w:fldCharType="begin"/>
      </w:r>
      <w:r w:rsidR="005668C1" w:rsidRPr="008F0ABB">
        <w:rPr>
          <w:rFonts w:asciiTheme="majorHAnsi" w:hAnsiTheme="majorHAnsi"/>
          <w:color w:val="A6A6A6" w:themeColor="background1" w:themeShade="A6"/>
        </w:rPr>
        <w:instrText xml:space="preserve"> PAGEREF _Ref445202027 \h </w:instrText>
      </w:r>
      <w:r w:rsidR="005668C1" w:rsidRPr="008F0ABB">
        <w:rPr>
          <w:rFonts w:asciiTheme="majorHAnsi" w:hAnsiTheme="majorHAnsi"/>
          <w:color w:val="A6A6A6" w:themeColor="background1" w:themeShade="A6"/>
        </w:rPr>
      </w:r>
      <w:r w:rsidR="005668C1"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53</w:t>
      </w:r>
      <w:r w:rsidR="005668C1" w:rsidRPr="008F0ABB">
        <w:rPr>
          <w:rFonts w:asciiTheme="majorHAnsi" w:hAnsiTheme="majorHAnsi"/>
          <w:color w:val="A6A6A6" w:themeColor="background1" w:themeShade="A6"/>
        </w:rPr>
        <w:fldChar w:fldCharType="end"/>
      </w:r>
      <w:r w:rsidR="005668C1" w:rsidRPr="008F0ABB">
        <w:rPr>
          <w:rFonts w:asciiTheme="majorHAnsi" w:hAnsiTheme="majorHAnsi"/>
          <w:color w:val="A6A6A6" w:themeColor="background1" w:themeShade="A6"/>
        </w:rPr>
        <w:t>)</w:t>
      </w:r>
      <w:r w:rsidRPr="008F0ABB">
        <w:rPr>
          <w:rFonts w:asciiTheme="majorHAnsi" w:hAnsiTheme="majorHAnsi"/>
          <w:color w:val="A6A6A6" w:themeColor="background1" w:themeShade="A6"/>
        </w:rPr>
        <w:t>.</w:t>
      </w:r>
    </w:p>
    <w:p w14:paraId="2255C5EC" w14:textId="77777777" w:rsidR="00CC1A07" w:rsidRDefault="00CC1A07" w:rsidP="001661A3">
      <w:pPr>
        <w:rPr>
          <w:rFonts w:asciiTheme="majorHAnsi" w:hAnsiTheme="majorHAnsi"/>
        </w:rPr>
      </w:pPr>
    </w:p>
    <w:p w14:paraId="19F68B96" w14:textId="77777777" w:rsidR="00CC1A07" w:rsidRPr="001661A3" w:rsidRDefault="00CC1A07" w:rsidP="001661A3">
      <w:pPr>
        <w:rPr>
          <w:rFonts w:asciiTheme="majorHAnsi" w:hAnsiTheme="majorHAnsi"/>
        </w:rPr>
        <w:sectPr w:rsidR="00CC1A07" w:rsidRPr="001661A3">
          <w:footnotePr>
            <w:numFmt w:val="lowerLetter"/>
          </w:footnotePr>
          <w:pgSz w:w="12240" w:h="15840"/>
          <w:pgMar w:top="1440" w:right="1440" w:bottom="1440" w:left="1440" w:header="720" w:footer="720" w:gutter="0"/>
          <w:cols w:space="720"/>
          <w:docGrid w:linePitch="360"/>
        </w:sectPr>
      </w:pPr>
    </w:p>
    <w:p w14:paraId="50A3BB2B" w14:textId="77777777" w:rsidR="004E4E7C" w:rsidRPr="00C624DD" w:rsidRDefault="003E688F" w:rsidP="00C624DD">
      <w:pPr>
        <w:pStyle w:val="ListParagraph"/>
        <w:numPr>
          <w:ilvl w:val="0"/>
          <w:numId w:val="4"/>
        </w:numPr>
        <w:jc w:val="center"/>
        <w:rPr>
          <w:rFonts w:asciiTheme="majorHAnsi" w:hAnsiTheme="majorHAnsi"/>
          <w:b/>
          <w:sz w:val="28"/>
          <w:szCs w:val="28"/>
        </w:rPr>
      </w:pPr>
      <w:bookmarkStart w:id="6" w:name="_Ref445201953"/>
      <w:r w:rsidRPr="00C624DD">
        <w:rPr>
          <w:rFonts w:asciiTheme="majorHAnsi" w:hAnsiTheme="majorHAnsi"/>
          <w:b/>
          <w:sz w:val="28"/>
          <w:szCs w:val="28"/>
        </w:rPr>
        <w:t>Recommendations for K</w:t>
      </w:r>
      <w:r w:rsidR="004E4E7C" w:rsidRPr="00C624DD">
        <w:rPr>
          <w:rFonts w:asciiTheme="majorHAnsi" w:hAnsiTheme="majorHAnsi"/>
          <w:b/>
          <w:sz w:val="28"/>
          <w:szCs w:val="28"/>
        </w:rPr>
        <w:t>ey Areas of a Global Framework</w:t>
      </w:r>
      <w:bookmarkEnd w:id="6"/>
      <w:r w:rsidR="004E4E7C" w:rsidRPr="00C624DD">
        <w:rPr>
          <w:rFonts w:asciiTheme="majorHAnsi" w:hAnsiTheme="majorHAnsi"/>
          <w:b/>
          <w:sz w:val="28"/>
          <w:szCs w:val="28"/>
        </w:rPr>
        <w:t xml:space="preserve"> </w:t>
      </w:r>
    </w:p>
    <w:p w14:paraId="34502E79" w14:textId="77777777" w:rsidR="004E4E7C" w:rsidRDefault="004E4E7C" w:rsidP="003E688F">
      <w:pPr>
        <w:rPr>
          <w:rFonts w:asciiTheme="majorHAnsi" w:hAnsiTheme="majorHAnsi"/>
        </w:rPr>
      </w:pPr>
    </w:p>
    <w:p w14:paraId="451FCC69" w14:textId="7E42174D" w:rsidR="00553708" w:rsidRDefault="00553708" w:rsidP="00B827E8">
      <w:pPr>
        <w:spacing w:after="120"/>
        <w:rPr>
          <w:rFonts w:asciiTheme="majorHAnsi" w:hAnsiTheme="majorHAnsi"/>
        </w:rPr>
      </w:pPr>
      <w:r>
        <w:rPr>
          <w:rFonts w:asciiTheme="majorHAnsi" w:hAnsiTheme="majorHAnsi"/>
        </w:rPr>
        <w:t xml:space="preserve">The findings from the review yielded a set of common </w:t>
      </w:r>
      <w:r w:rsidR="0070396A">
        <w:rPr>
          <w:rFonts w:asciiTheme="majorHAnsi" w:hAnsiTheme="majorHAnsi"/>
        </w:rPr>
        <w:t xml:space="preserve">domains </w:t>
      </w:r>
      <w:r>
        <w:rPr>
          <w:rFonts w:asciiTheme="majorHAnsi" w:hAnsiTheme="majorHAnsi"/>
        </w:rPr>
        <w:t xml:space="preserve">that countries have considered in the development of policies and procedures for HIE. These common </w:t>
      </w:r>
      <w:r w:rsidR="0070396A">
        <w:rPr>
          <w:rFonts w:asciiTheme="majorHAnsi" w:hAnsiTheme="majorHAnsi"/>
        </w:rPr>
        <w:t xml:space="preserve">domains </w:t>
      </w:r>
      <w:r>
        <w:rPr>
          <w:rFonts w:asciiTheme="majorHAnsi" w:hAnsiTheme="majorHAnsi"/>
        </w:rPr>
        <w:t>are framed as questions or decision points and grouped into Key Areas for a suggested framework as detailed further in this chapter.</w:t>
      </w:r>
      <w:r w:rsidR="0070396A">
        <w:rPr>
          <w:rFonts w:asciiTheme="majorHAnsi" w:hAnsiTheme="majorHAnsi"/>
        </w:rPr>
        <w:t xml:space="preserve"> The answers to the questions will differ by country based upon underlying principles and the culture.</w:t>
      </w:r>
      <w:r>
        <w:rPr>
          <w:rFonts w:asciiTheme="majorHAnsi" w:hAnsiTheme="majorHAnsi"/>
        </w:rPr>
        <w:t xml:space="preserve"> The Key Areas are:</w:t>
      </w:r>
    </w:p>
    <w:p w14:paraId="166C41D5" w14:textId="66405B88" w:rsidR="00553708" w:rsidRPr="00553708" w:rsidRDefault="00553708" w:rsidP="00553708">
      <w:pPr>
        <w:pStyle w:val="ListParagraph"/>
        <w:numPr>
          <w:ilvl w:val="0"/>
          <w:numId w:val="40"/>
        </w:numPr>
        <w:rPr>
          <w:rFonts w:asciiTheme="majorHAnsi" w:hAnsiTheme="majorHAnsi"/>
        </w:rPr>
      </w:pPr>
      <w:r w:rsidRPr="00553708">
        <w:rPr>
          <w:rFonts w:asciiTheme="majorHAnsi" w:hAnsiTheme="majorHAnsi"/>
        </w:rPr>
        <w:t>Key Area 1: Vision &amp; Strategy</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_Ref445201967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11</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p>
    <w:p w14:paraId="52265362" w14:textId="625169FA" w:rsidR="00553708" w:rsidRPr="008F0ABB" w:rsidRDefault="00553708" w:rsidP="00553708">
      <w:pPr>
        <w:pStyle w:val="ListParagraph"/>
        <w:numPr>
          <w:ilvl w:val="0"/>
          <w:numId w:val="40"/>
        </w:numPr>
        <w:rPr>
          <w:rFonts w:asciiTheme="majorHAnsi" w:hAnsiTheme="majorHAnsi"/>
          <w:color w:val="A6A6A6" w:themeColor="background1" w:themeShade="A6"/>
        </w:rPr>
      </w:pPr>
      <w:r w:rsidRPr="00553708">
        <w:rPr>
          <w:rFonts w:asciiTheme="majorHAnsi" w:hAnsiTheme="majorHAnsi"/>
        </w:rPr>
        <w:t>Key Area 2: Governance</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_Ref445201976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15</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p>
    <w:p w14:paraId="41CD1C7E" w14:textId="2730A58E" w:rsidR="00553708" w:rsidRPr="008F0ABB" w:rsidRDefault="00553708" w:rsidP="00553708">
      <w:pPr>
        <w:pStyle w:val="ListParagraph"/>
        <w:numPr>
          <w:ilvl w:val="0"/>
          <w:numId w:val="40"/>
        </w:numPr>
        <w:rPr>
          <w:rFonts w:asciiTheme="majorHAnsi" w:hAnsiTheme="majorHAnsi"/>
          <w:color w:val="A6A6A6" w:themeColor="background1" w:themeShade="A6"/>
        </w:rPr>
      </w:pPr>
      <w:r w:rsidRPr="00553708">
        <w:rPr>
          <w:rFonts w:asciiTheme="majorHAnsi" w:hAnsiTheme="majorHAnsi"/>
        </w:rPr>
        <w:t xml:space="preserve">Key Area 3: HIE Policies &amp; Procedures – General </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_Ref445201982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21</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p>
    <w:p w14:paraId="25C8735B" w14:textId="104C0611" w:rsidR="00553708" w:rsidRPr="008F0ABB" w:rsidRDefault="00553708" w:rsidP="00553708">
      <w:pPr>
        <w:pStyle w:val="ListParagraph"/>
        <w:numPr>
          <w:ilvl w:val="0"/>
          <w:numId w:val="40"/>
        </w:numPr>
        <w:rPr>
          <w:rFonts w:asciiTheme="majorHAnsi" w:hAnsiTheme="majorHAnsi"/>
          <w:color w:val="A6A6A6" w:themeColor="background1" w:themeShade="A6"/>
        </w:rPr>
      </w:pPr>
      <w:r w:rsidRPr="00553708">
        <w:rPr>
          <w:rFonts w:asciiTheme="majorHAnsi" w:hAnsiTheme="majorHAnsi"/>
        </w:rPr>
        <w:t>Key Area 4: HIE Policies &amp; Procedures – Standards &amp; Interoperability</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_Ref445201990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26</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p>
    <w:p w14:paraId="566E6100" w14:textId="4F91669C" w:rsidR="00553708" w:rsidRPr="008F0ABB" w:rsidRDefault="00553708" w:rsidP="00553708">
      <w:pPr>
        <w:pStyle w:val="ListParagraph"/>
        <w:numPr>
          <w:ilvl w:val="0"/>
          <w:numId w:val="40"/>
        </w:numPr>
        <w:rPr>
          <w:rFonts w:asciiTheme="majorHAnsi" w:hAnsiTheme="majorHAnsi"/>
          <w:color w:val="A6A6A6" w:themeColor="background1" w:themeShade="A6"/>
        </w:rPr>
      </w:pPr>
      <w:r w:rsidRPr="00553708">
        <w:rPr>
          <w:rFonts w:asciiTheme="majorHAnsi" w:hAnsiTheme="majorHAnsi"/>
        </w:rPr>
        <w:t>Key Area 5: HIE Policies &amp; Procedures – Privacy &amp; Security</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_Ref445202000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30</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p>
    <w:p w14:paraId="638C2F1D" w14:textId="181A3D80" w:rsidR="00553708" w:rsidRPr="008F0ABB" w:rsidRDefault="00553708" w:rsidP="00553708">
      <w:pPr>
        <w:pStyle w:val="ListParagraph"/>
        <w:numPr>
          <w:ilvl w:val="0"/>
          <w:numId w:val="40"/>
        </w:numPr>
        <w:rPr>
          <w:rFonts w:asciiTheme="majorHAnsi" w:hAnsiTheme="majorHAnsi"/>
          <w:color w:val="A6A6A6" w:themeColor="background1" w:themeShade="A6"/>
        </w:rPr>
      </w:pPr>
      <w:r w:rsidRPr="00553708">
        <w:rPr>
          <w:rFonts w:asciiTheme="majorHAnsi" w:hAnsiTheme="majorHAnsi"/>
        </w:rPr>
        <w:t>Key Area 6: HIE Policies &amp; Procedures – Data Use Agreements</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_Ref446328776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32</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p>
    <w:p w14:paraId="23AB0039" w14:textId="41B60E46" w:rsidR="00553708" w:rsidRPr="00553708" w:rsidRDefault="00553708" w:rsidP="00553708">
      <w:pPr>
        <w:pStyle w:val="ListParagraph"/>
        <w:numPr>
          <w:ilvl w:val="0"/>
          <w:numId w:val="40"/>
        </w:numPr>
        <w:rPr>
          <w:rFonts w:asciiTheme="majorHAnsi" w:hAnsiTheme="majorHAnsi"/>
        </w:rPr>
      </w:pPr>
      <w:r w:rsidRPr="00553708">
        <w:rPr>
          <w:rFonts w:asciiTheme="majorHAnsi" w:hAnsiTheme="majorHAnsi"/>
        </w:rPr>
        <w:t>Key Area 7: HIE Implementation</w:t>
      </w:r>
      <w:r w:rsidR="00F26089">
        <w:rPr>
          <w:rFonts w:asciiTheme="majorHAnsi" w:hAnsiTheme="majorHAnsi"/>
        </w:rPr>
        <w:t xml:space="preserve"> </w:t>
      </w:r>
      <w:r w:rsidR="00F26089" w:rsidRPr="008F0ABB">
        <w:rPr>
          <w:rFonts w:asciiTheme="majorHAnsi" w:hAnsiTheme="majorHAnsi"/>
          <w:color w:val="A6A6A6" w:themeColor="background1" w:themeShade="A6"/>
        </w:rPr>
        <w:t xml:space="preserve">(page </w:t>
      </w:r>
      <w:r w:rsidR="00F26089" w:rsidRPr="008F0ABB">
        <w:rPr>
          <w:rFonts w:asciiTheme="majorHAnsi" w:hAnsiTheme="majorHAnsi"/>
          <w:color w:val="A6A6A6" w:themeColor="background1" w:themeShade="A6"/>
        </w:rPr>
        <w:fldChar w:fldCharType="begin"/>
      </w:r>
      <w:r w:rsidR="00F26089" w:rsidRPr="008F0ABB">
        <w:rPr>
          <w:rFonts w:asciiTheme="majorHAnsi" w:hAnsiTheme="majorHAnsi"/>
          <w:color w:val="A6A6A6" w:themeColor="background1" w:themeShade="A6"/>
        </w:rPr>
        <w:instrText xml:space="preserve"> PAGEREF _Ref445202012 \h </w:instrText>
      </w:r>
      <w:r w:rsidR="00F26089" w:rsidRPr="008F0ABB">
        <w:rPr>
          <w:rFonts w:asciiTheme="majorHAnsi" w:hAnsiTheme="majorHAnsi"/>
          <w:color w:val="A6A6A6" w:themeColor="background1" w:themeShade="A6"/>
        </w:rPr>
      </w:r>
      <w:r w:rsidR="00F26089"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48</w:t>
      </w:r>
      <w:r w:rsidR="00F26089" w:rsidRPr="008F0ABB">
        <w:rPr>
          <w:rFonts w:asciiTheme="majorHAnsi" w:hAnsiTheme="majorHAnsi"/>
          <w:color w:val="A6A6A6" w:themeColor="background1" w:themeShade="A6"/>
        </w:rPr>
        <w:fldChar w:fldCharType="end"/>
      </w:r>
      <w:r w:rsidR="00F26089" w:rsidRPr="008F0ABB">
        <w:rPr>
          <w:rFonts w:asciiTheme="majorHAnsi" w:hAnsiTheme="majorHAnsi"/>
          <w:color w:val="A6A6A6" w:themeColor="background1" w:themeShade="A6"/>
        </w:rPr>
        <w:t>)</w:t>
      </w:r>
      <w:r w:rsidR="00A164CC">
        <w:rPr>
          <w:rFonts w:asciiTheme="majorHAnsi" w:hAnsiTheme="majorHAnsi"/>
        </w:rPr>
        <w:t>.</w:t>
      </w:r>
    </w:p>
    <w:p w14:paraId="6186714D" w14:textId="77777777" w:rsidR="00B46972" w:rsidRDefault="00B46972" w:rsidP="003E688F">
      <w:pPr>
        <w:rPr>
          <w:rFonts w:asciiTheme="majorHAnsi" w:hAnsiTheme="majorHAnsi"/>
        </w:rPr>
      </w:pPr>
    </w:p>
    <w:p w14:paraId="15203184" w14:textId="73985901" w:rsidR="00A164CC" w:rsidRDefault="00A164CC" w:rsidP="003E688F">
      <w:pPr>
        <w:rPr>
          <w:rFonts w:asciiTheme="majorHAnsi" w:hAnsiTheme="majorHAnsi"/>
        </w:rPr>
      </w:pPr>
      <w:r>
        <w:rPr>
          <w:rFonts w:asciiTheme="majorHAnsi" w:hAnsiTheme="majorHAnsi"/>
        </w:rPr>
        <w:t xml:space="preserve">As described in Chapter 3 </w:t>
      </w:r>
      <w:r w:rsidRPr="008F0ABB">
        <w:rPr>
          <w:rFonts w:asciiTheme="majorHAnsi" w:hAnsiTheme="majorHAnsi"/>
          <w:color w:val="A6A6A6" w:themeColor="background1" w:themeShade="A6"/>
        </w:rPr>
        <w:t xml:space="preserve">(page </w:t>
      </w:r>
      <w:r w:rsidRPr="008F0ABB">
        <w:rPr>
          <w:rFonts w:asciiTheme="majorHAnsi" w:hAnsiTheme="majorHAnsi"/>
          <w:color w:val="A6A6A6" w:themeColor="background1" w:themeShade="A6"/>
        </w:rPr>
        <w:fldChar w:fldCharType="begin"/>
      </w:r>
      <w:r w:rsidRPr="008F0ABB">
        <w:rPr>
          <w:rFonts w:asciiTheme="majorHAnsi" w:hAnsiTheme="majorHAnsi"/>
          <w:color w:val="A6A6A6" w:themeColor="background1" w:themeShade="A6"/>
        </w:rPr>
        <w:instrText xml:space="preserve"> PAGEREF _Ref445201917 \h </w:instrText>
      </w:r>
      <w:r w:rsidRPr="008F0ABB">
        <w:rPr>
          <w:rFonts w:asciiTheme="majorHAnsi" w:hAnsiTheme="majorHAnsi"/>
          <w:color w:val="A6A6A6" w:themeColor="background1" w:themeShade="A6"/>
        </w:rPr>
      </w:r>
      <w:r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6</w:t>
      </w:r>
      <w:r w:rsidRPr="008F0ABB">
        <w:rPr>
          <w:rFonts w:asciiTheme="majorHAnsi" w:hAnsiTheme="majorHAnsi"/>
          <w:color w:val="A6A6A6" w:themeColor="background1" w:themeShade="A6"/>
        </w:rPr>
        <w:fldChar w:fldCharType="end"/>
      </w:r>
      <w:r w:rsidRPr="008F0ABB">
        <w:rPr>
          <w:rFonts w:asciiTheme="majorHAnsi" w:hAnsiTheme="majorHAnsi"/>
          <w:color w:val="A6A6A6" w:themeColor="background1" w:themeShade="A6"/>
        </w:rPr>
        <w:t>)</w:t>
      </w:r>
      <w:r>
        <w:rPr>
          <w:rFonts w:asciiTheme="majorHAnsi" w:hAnsiTheme="majorHAnsi"/>
        </w:rPr>
        <w:t>, this review focused on issues of data governance and data use agreements, thus Key Areas 2 and 6 contain more detail than the other Key Areas. However, all Key Areas should be addressed as countries</w:t>
      </w:r>
      <w:r w:rsidR="00374EC7">
        <w:rPr>
          <w:rFonts w:asciiTheme="majorHAnsi" w:hAnsiTheme="majorHAnsi"/>
        </w:rPr>
        <w:t xml:space="preserve"> develop and</w:t>
      </w:r>
      <w:r>
        <w:rPr>
          <w:rFonts w:asciiTheme="majorHAnsi" w:hAnsiTheme="majorHAnsi"/>
        </w:rPr>
        <w:t xml:space="preserve"> implement HIE infrastructure and interoperability</w:t>
      </w:r>
      <w:r w:rsidR="00C679B9">
        <w:rPr>
          <w:rFonts w:asciiTheme="majorHAnsi" w:hAnsiTheme="majorHAnsi"/>
        </w:rPr>
        <w:t>. A countr</w:t>
      </w:r>
      <w:r w:rsidR="004B0DC8">
        <w:rPr>
          <w:rFonts w:asciiTheme="majorHAnsi" w:hAnsiTheme="majorHAnsi"/>
        </w:rPr>
        <w:t>y’s</w:t>
      </w:r>
      <w:r w:rsidR="00C679B9">
        <w:rPr>
          <w:rFonts w:asciiTheme="majorHAnsi" w:hAnsiTheme="majorHAnsi"/>
        </w:rPr>
        <w:t xml:space="preserve"> comprehensive framework for health information interoperability and data sharing should address each of these areas due to their interdependence. </w:t>
      </w:r>
    </w:p>
    <w:p w14:paraId="4D8C277F" w14:textId="77777777" w:rsidR="00553708" w:rsidRDefault="00553708" w:rsidP="003E688F">
      <w:pPr>
        <w:rPr>
          <w:rFonts w:asciiTheme="majorHAnsi" w:hAnsiTheme="majorHAnsi"/>
        </w:rPr>
      </w:pPr>
    </w:p>
    <w:p w14:paraId="740C29D4" w14:textId="369B6670" w:rsidR="004A43CC" w:rsidRDefault="004A43CC" w:rsidP="004A43CC">
      <w:pPr>
        <w:rPr>
          <w:rFonts w:asciiTheme="majorHAnsi" w:hAnsiTheme="majorHAnsi"/>
        </w:rPr>
      </w:pPr>
      <w:r>
        <w:rPr>
          <w:rFonts w:asciiTheme="majorHAnsi" w:hAnsiTheme="majorHAnsi"/>
        </w:rPr>
        <w:t>Each Key Area includes a short introduction</w:t>
      </w:r>
      <w:r w:rsidR="00AF3BDC">
        <w:rPr>
          <w:rFonts w:asciiTheme="majorHAnsi" w:hAnsiTheme="majorHAnsi"/>
        </w:rPr>
        <w:t xml:space="preserve"> or remarks</w:t>
      </w:r>
      <w:r w:rsidR="007E7DAE">
        <w:rPr>
          <w:rFonts w:asciiTheme="majorHAnsi" w:hAnsiTheme="majorHAnsi"/>
        </w:rPr>
        <w:t xml:space="preserve"> if applicable</w:t>
      </w:r>
      <w:r>
        <w:rPr>
          <w:rFonts w:asciiTheme="majorHAnsi" w:hAnsiTheme="majorHAnsi"/>
        </w:rPr>
        <w:t xml:space="preserve">, a table of </w:t>
      </w:r>
      <w:r w:rsidR="00E22447">
        <w:rPr>
          <w:rFonts w:asciiTheme="majorHAnsi" w:hAnsiTheme="majorHAnsi"/>
        </w:rPr>
        <w:t xml:space="preserve">exemplar </w:t>
      </w:r>
      <w:r>
        <w:rPr>
          <w:rFonts w:asciiTheme="majorHAnsi" w:hAnsiTheme="majorHAnsi"/>
        </w:rPr>
        <w:t>decision points and examples, and lessons learned/findings. Below, see a sample structure of the table and additional information regarding how to read the table.</w:t>
      </w:r>
    </w:p>
    <w:p w14:paraId="11AD9265" w14:textId="77777777" w:rsidR="004A43CC" w:rsidRDefault="004A43CC" w:rsidP="004A43CC">
      <w:pPr>
        <w:rPr>
          <w:rFonts w:asciiTheme="majorHAnsi" w:hAnsiTheme="majorHAnsi"/>
        </w:rPr>
      </w:pPr>
    </w:p>
    <w:p w14:paraId="4AD5E137" w14:textId="77777777" w:rsidR="004A43CC" w:rsidRPr="00ED4428" w:rsidRDefault="004A43CC" w:rsidP="004A43CC">
      <w:pPr>
        <w:spacing w:after="120"/>
        <w:rPr>
          <w:rFonts w:asciiTheme="majorHAnsi" w:hAnsiTheme="majorHAnsi"/>
          <w:b/>
        </w:rPr>
      </w:pPr>
      <w:r w:rsidRPr="00ED4428">
        <w:rPr>
          <w:rFonts w:asciiTheme="majorHAnsi" w:hAnsiTheme="majorHAnsi"/>
          <w:b/>
        </w:rPr>
        <w:t>Sample Table for Key Area X</w:t>
      </w:r>
      <w:r>
        <w:rPr>
          <w:rFonts w:asciiTheme="majorHAnsi" w:hAnsiTheme="majorHAnsi"/>
          <w:b/>
        </w:rPr>
        <w:t>.</w:t>
      </w:r>
    </w:p>
    <w:tbl>
      <w:tblPr>
        <w:tblStyle w:val="TableGrid"/>
        <w:tblW w:w="0" w:type="auto"/>
        <w:tblLayout w:type="fixed"/>
        <w:tblLook w:val="04A0" w:firstRow="1" w:lastRow="0" w:firstColumn="1" w:lastColumn="0" w:noHBand="0" w:noVBand="1"/>
      </w:tblPr>
      <w:tblGrid>
        <w:gridCol w:w="1188"/>
        <w:gridCol w:w="2070"/>
        <w:gridCol w:w="3060"/>
        <w:gridCol w:w="1620"/>
        <w:gridCol w:w="1638"/>
      </w:tblGrid>
      <w:tr w:rsidR="004A43CC" w:rsidRPr="00C609AC" w14:paraId="11044AEF" w14:textId="77777777" w:rsidTr="001B439B">
        <w:trPr>
          <w:tblHeader/>
        </w:trPr>
        <w:tc>
          <w:tcPr>
            <w:tcW w:w="1188" w:type="dxa"/>
            <w:vAlign w:val="center"/>
          </w:tcPr>
          <w:p w14:paraId="0A2DE17C" w14:textId="77777777" w:rsidR="004A43CC" w:rsidRPr="00C609AC" w:rsidRDefault="004A43CC" w:rsidP="00391E17">
            <w:pPr>
              <w:jc w:val="center"/>
              <w:rPr>
                <w:rFonts w:asciiTheme="majorHAnsi" w:hAnsiTheme="majorHAnsi"/>
                <w:b/>
                <w:sz w:val="22"/>
                <w:szCs w:val="22"/>
              </w:rPr>
            </w:pPr>
            <w:r w:rsidRPr="00C609AC">
              <w:rPr>
                <w:rFonts w:asciiTheme="majorHAnsi" w:hAnsiTheme="majorHAnsi"/>
                <w:b/>
                <w:sz w:val="22"/>
                <w:szCs w:val="22"/>
              </w:rPr>
              <w:t>Theme</w:t>
            </w:r>
          </w:p>
        </w:tc>
        <w:tc>
          <w:tcPr>
            <w:tcW w:w="2070" w:type="dxa"/>
            <w:vAlign w:val="center"/>
          </w:tcPr>
          <w:p w14:paraId="1D30181B" w14:textId="02B59FE6" w:rsidR="004A43CC" w:rsidRDefault="004A43CC" w:rsidP="00391E17">
            <w:pPr>
              <w:jc w:val="center"/>
              <w:rPr>
                <w:rFonts w:asciiTheme="majorHAnsi" w:hAnsiTheme="majorHAnsi"/>
                <w:b/>
                <w:sz w:val="22"/>
                <w:szCs w:val="22"/>
              </w:rPr>
            </w:pPr>
            <w:r>
              <w:rPr>
                <w:rFonts w:asciiTheme="majorHAnsi" w:hAnsiTheme="majorHAnsi"/>
                <w:b/>
                <w:sz w:val="22"/>
                <w:szCs w:val="22"/>
              </w:rPr>
              <w:t>Exemplar</w:t>
            </w:r>
          </w:p>
          <w:p w14:paraId="59199747" w14:textId="77777777" w:rsidR="004A43CC" w:rsidRPr="00C609AC" w:rsidRDefault="004A43CC" w:rsidP="00391E17">
            <w:pPr>
              <w:jc w:val="center"/>
              <w:rPr>
                <w:rFonts w:asciiTheme="majorHAnsi" w:hAnsiTheme="majorHAnsi"/>
                <w:b/>
                <w:sz w:val="22"/>
                <w:szCs w:val="22"/>
              </w:rPr>
            </w:pPr>
            <w:r w:rsidRPr="00C609AC">
              <w:rPr>
                <w:rFonts w:asciiTheme="majorHAnsi" w:hAnsiTheme="majorHAnsi"/>
                <w:b/>
                <w:sz w:val="22"/>
                <w:szCs w:val="22"/>
              </w:rPr>
              <w:t>Question/Decision Point(s)</w:t>
            </w:r>
          </w:p>
        </w:tc>
        <w:tc>
          <w:tcPr>
            <w:tcW w:w="3060" w:type="dxa"/>
            <w:vAlign w:val="center"/>
          </w:tcPr>
          <w:p w14:paraId="45CD65F8" w14:textId="77777777" w:rsidR="004A43CC" w:rsidRPr="00C609AC" w:rsidRDefault="004A43CC" w:rsidP="00391E17">
            <w:pPr>
              <w:jc w:val="center"/>
              <w:rPr>
                <w:rFonts w:asciiTheme="majorHAnsi" w:hAnsiTheme="majorHAnsi"/>
                <w:b/>
                <w:sz w:val="22"/>
                <w:szCs w:val="22"/>
              </w:rPr>
            </w:pPr>
            <w:r w:rsidRPr="00C609AC">
              <w:rPr>
                <w:rFonts w:asciiTheme="majorHAnsi" w:hAnsiTheme="majorHAnsi"/>
                <w:b/>
                <w:sz w:val="22"/>
                <w:szCs w:val="22"/>
              </w:rPr>
              <w:t>Example Option</w:t>
            </w:r>
          </w:p>
        </w:tc>
        <w:tc>
          <w:tcPr>
            <w:tcW w:w="1620" w:type="dxa"/>
            <w:vAlign w:val="center"/>
          </w:tcPr>
          <w:p w14:paraId="73CDB980" w14:textId="77777777" w:rsidR="004A43CC" w:rsidRPr="00C609AC" w:rsidRDefault="004A43CC" w:rsidP="00391E17">
            <w:pPr>
              <w:jc w:val="center"/>
              <w:rPr>
                <w:rFonts w:asciiTheme="majorHAnsi" w:hAnsiTheme="majorHAnsi"/>
                <w:b/>
                <w:sz w:val="22"/>
                <w:szCs w:val="22"/>
              </w:rPr>
            </w:pPr>
            <w:r w:rsidRPr="00C609AC">
              <w:rPr>
                <w:rFonts w:asciiTheme="majorHAnsi" w:hAnsiTheme="majorHAnsi"/>
                <w:b/>
                <w:sz w:val="22"/>
                <w:szCs w:val="22"/>
              </w:rPr>
              <w:t>Where Implemented or Planned</w:t>
            </w:r>
          </w:p>
        </w:tc>
        <w:tc>
          <w:tcPr>
            <w:tcW w:w="1638" w:type="dxa"/>
            <w:vAlign w:val="center"/>
          </w:tcPr>
          <w:p w14:paraId="36525E9C" w14:textId="77777777" w:rsidR="004A43CC" w:rsidRPr="00C609AC" w:rsidRDefault="004A43CC" w:rsidP="00391E17">
            <w:pPr>
              <w:jc w:val="center"/>
              <w:rPr>
                <w:rFonts w:asciiTheme="majorHAnsi" w:hAnsiTheme="majorHAnsi"/>
                <w:b/>
                <w:sz w:val="22"/>
                <w:szCs w:val="22"/>
              </w:rPr>
            </w:pPr>
            <w:r w:rsidRPr="00C609AC">
              <w:rPr>
                <w:rFonts w:asciiTheme="majorHAnsi" w:hAnsiTheme="majorHAnsi"/>
                <w:b/>
                <w:sz w:val="22"/>
                <w:szCs w:val="22"/>
              </w:rPr>
              <w:t>Digital Development Principle(s)</w:t>
            </w:r>
          </w:p>
        </w:tc>
      </w:tr>
      <w:tr w:rsidR="004A43CC" w:rsidRPr="00074EEC" w14:paraId="1E3664C0" w14:textId="77777777" w:rsidTr="001B439B">
        <w:trPr>
          <w:trHeight w:val="188"/>
        </w:trPr>
        <w:tc>
          <w:tcPr>
            <w:tcW w:w="1188" w:type="dxa"/>
          </w:tcPr>
          <w:p w14:paraId="6CBB7881" w14:textId="77777777" w:rsidR="004A43CC" w:rsidRPr="00074EEC" w:rsidRDefault="004A43CC" w:rsidP="00391E17">
            <w:pPr>
              <w:rPr>
                <w:rFonts w:asciiTheme="majorHAnsi" w:hAnsiTheme="majorHAnsi"/>
                <w:sz w:val="20"/>
                <w:szCs w:val="20"/>
              </w:rPr>
            </w:pPr>
            <w:r w:rsidRPr="00074EEC">
              <w:rPr>
                <w:rFonts w:asciiTheme="majorHAnsi" w:hAnsiTheme="majorHAnsi"/>
                <w:sz w:val="20"/>
                <w:szCs w:val="20"/>
              </w:rPr>
              <w:t xml:space="preserve">The general category or topic of the question/decision point(s) to assist with readability and classification. </w:t>
            </w:r>
            <w:r w:rsidRPr="00074EEC">
              <w:rPr>
                <w:rFonts w:asciiTheme="majorHAnsi" w:hAnsiTheme="majorHAnsi"/>
                <w:b/>
                <w:sz w:val="20"/>
                <w:szCs w:val="20"/>
              </w:rPr>
              <w:t xml:space="preserve">Note </w:t>
            </w:r>
            <w:r w:rsidRPr="00074EEC">
              <w:rPr>
                <w:rFonts w:asciiTheme="majorHAnsi" w:hAnsiTheme="majorHAnsi"/>
                <w:sz w:val="20"/>
                <w:szCs w:val="20"/>
              </w:rPr>
              <w:t>this column is not present for every Key Area.</w:t>
            </w:r>
          </w:p>
        </w:tc>
        <w:tc>
          <w:tcPr>
            <w:tcW w:w="2070" w:type="dxa"/>
          </w:tcPr>
          <w:p w14:paraId="6F0AEA37" w14:textId="77777777" w:rsidR="004A43CC" w:rsidRPr="00074EEC" w:rsidRDefault="004A43CC" w:rsidP="00391E17">
            <w:pPr>
              <w:rPr>
                <w:rFonts w:asciiTheme="majorHAnsi" w:hAnsiTheme="majorHAnsi"/>
                <w:sz w:val="20"/>
                <w:szCs w:val="20"/>
              </w:rPr>
            </w:pPr>
            <w:r>
              <w:rPr>
                <w:rFonts w:asciiTheme="majorHAnsi" w:hAnsiTheme="majorHAnsi"/>
                <w:sz w:val="20"/>
                <w:szCs w:val="20"/>
              </w:rPr>
              <w:t>Exemplar q</w:t>
            </w:r>
            <w:r w:rsidRPr="00074EEC">
              <w:rPr>
                <w:rFonts w:asciiTheme="majorHAnsi" w:hAnsiTheme="majorHAnsi"/>
                <w:sz w:val="20"/>
                <w:szCs w:val="20"/>
              </w:rPr>
              <w:t>uestions decision-makers should consider based on key principles and findings from the review</w:t>
            </w:r>
            <w:r>
              <w:rPr>
                <w:rFonts w:asciiTheme="majorHAnsi" w:hAnsiTheme="majorHAnsi"/>
                <w:sz w:val="20"/>
                <w:szCs w:val="20"/>
              </w:rPr>
              <w:t>.</w:t>
            </w:r>
          </w:p>
        </w:tc>
        <w:tc>
          <w:tcPr>
            <w:tcW w:w="3060" w:type="dxa"/>
          </w:tcPr>
          <w:p w14:paraId="10C83BD7" w14:textId="5098D78C" w:rsidR="004A43CC" w:rsidRPr="00074EEC" w:rsidRDefault="004A43CC" w:rsidP="00391E17">
            <w:pPr>
              <w:rPr>
                <w:rFonts w:asciiTheme="majorHAnsi" w:hAnsiTheme="majorHAnsi"/>
                <w:sz w:val="20"/>
                <w:szCs w:val="20"/>
              </w:rPr>
            </w:pPr>
            <w:r w:rsidRPr="00074EEC">
              <w:rPr>
                <w:rFonts w:asciiTheme="majorHAnsi" w:hAnsiTheme="majorHAnsi"/>
                <w:sz w:val="20"/>
                <w:szCs w:val="20"/>
              </w:rPr>
              <w:t>Example(s) of directions or implementations ta</w:t>
            </w:r>
            <w:r w:rsidR="004C59E9">
              <w:rPr>
                <w:rFonts w:asciiTheme="majorHAnsi" w:hAnsiTheme="majorHAnsi"/>
                <w:sz w:val="20"/>
                <w:szCs w:val="20"/>
              </w:rPr>
              <w:t>ken as related to the question/</w:t>
            </w:r>
            <w:r w:rsidRPr="00074EEC">
              <w:rPr>
                <w:rFonts w:asciiTheme="majorHAnsi" w:hAnsiTheme="majorHAnsi"/>
                <w:sz w:val="20"/>
                <w:szCs w:val="20"/>
              </w:rPr>
              <w:t xml:space="preserve">decision point identified through the review. </w:t>
            </w:r>
            <w:r w:rsidRPr="00074EEC">
              <w:rPr>
                <w:rFonts w:asciiTheme="majorHAnsi" w:hAnsiTheme="majorHAnsi"/>
                <w:b/>
                <w:sz w:val="20"/>
                <w:szCs w:val="20"/>
              </w:rPr>
              <w:t>Note</w:t>
            </w:r>
            <w:r w:rsidRPr="00074EEC">
              <w:rPr>
                <w:rFonts w:asciiTheme="majorHAnsi" w:hAnsiTheme="majorHAnsi"/>
                <w:sz w:val="20"/>
                <w:szCs w:val="20"/>
              </w:rPr>
              <w:t xml:space="preserve"> that examples are </w:t>
            </w:r>
            <w:r w:rsidRPr="00CF3E81">
              <w:rPr>
                <w:rFonts w:asciiTheme="majorHAnsi" w:hAnsiTheme="majorHAnsi"/>
                <w:sz w:val="20"/>
                <w:szCs w:val="20"/>
                <w:u w:val="single"/>
              </w:rPr>
              <w:t>not</w:t>
            </w:r>
            <w:r w:rsidRPr="00074EEC">
              <w:rPr>
                <w:rFonts w:asciiTheme="majorHAnsi" w:hAnsiTheme="majorHAnsi"/>
                <w:sz w:val="20"/>
                <w:szCs w:val="20"/>
              </w:rPr>
              <w:t xml:space="preserve"> exhaustive and meant for illustration and to offer contrast</w:t>
            </w:r>
            <w:r>
              <w:rPr>
                <w:rFonts w:asciiTheme="majorHAnsi" w:hAnsiTheme="majorHAnsi"/>
                <w:sz w:val="20"/>
                <w:szCs w:val="20"/>
              </w:rPr>
              <w:t>,</w:t>
            </w:r>
            <w:r w:rsidRPr="00074EEC">
              <w:rPr>
                <w:rFonts w:asciiTheme="majorHAnsi" w:hAnsiTheme="majorHAnsi"/>
                <w:sz w:val="20"/>
                <w:szCs w:val="20"/>
              </w:rPr>
              <w:t xml:space="preserve"> if applicable. </w:t>
            </w:r>
          </w:p>
          <w:p w14:paraId="6CAC6452" w14:textId="77777777" w:rsidR="004A43CC" w:rsidRPr="00074EEC" w:rsidRDefault="004A43CC" w:rsidP="00391E17">
            <w:pPr>
              <w:rPr>
                <w:rFonts w:asciiTheme="majorHAnsi" w:hAnsiTheme="majorHAnsi"/>
                <w:sz w:val="20"/>
                <w:szCs w:val="20"/>
              </w:rPr>
            </w:pPr>
          </w:p>
          <w:p w14:paraId="2C9186FD" w14:textId="77777777" w:rsidR="004A43CC" w:rsidRPr="00074EEC" w:rsidRDefault="004A43CC" w:rsidP="00391E17">
            <w:pPr>
              <w:rPr>
                <w:rFonts w:asciiTheme="majorHAnsi" w:hAnsiTheme="majorHAnsi"/>
                <w:sz w:val="20"/>
                <w:szCs w:val="20"/>
              </w:rPr>
            </w:pPr>
            <w:r w:rsidRPr="00074EEC">
              <w:rPr>
                <w:rFonts w:asciiTheme="majorHAnsi" w:hAnsiTheme="majorHAnsi"/>
                <w:sz w:val="20"/>
                <w:szCs w:val="20"/>
              </w:rPr>
              <w:t>Generally LMIC examples are presented. Occasionally high-income country examples are presented if LMIC examples are unknown through the review</w:t>
            </w:r>
            <w:r>
              <w:rPr>
                <w:rFonts w:asciiTheme="majorHAnsi" w:hAnsiTheme="majorHAnsi"/>
                <w:sz w:val="20"/>
                <w:szCs w:val="20"/>
              </w:rPr>
              <w:t>,</w:t>
            </w:r>
            <w:r w:rsidRPr="00074EEC">
              <w:rPr>
                <w:rFonts w:asciiTheme="majorHAnsi" w:hAnsiTheme="majorHAnsi"/>
                <w:sz w:val="20"/>
                <w:szCs w:val="20"/>
              </w:rPr>
              <w:t xml:space="preserve"> or for contrast. </w:t>
            </w:r>
          </w:p>
          <w:p w14:paraId="65F472A5" w14:textId="77777777" w:rsidR="004A43CC" w:rsidRPr="00074EEC" w:rsidRDefault="004A43CC" w:rsidP="00391E17">
            <w:pPr>
              <w:rPr>
                <w:rFonts w:asciiTheme="majorHAnsi" w:hAnsiTheme="majorHAnsi"/>
                <w:sz w:val="20"/>
                <w:szCs w:val="20"/>
              </w:rPr>
            </w:pPr>
          </w:p>
          <w:p w14:paraId="6DDF22DE" w14:textId="77777777" w:rsidR="004A43CC" w:rsidRPr="00074EEC" w:rsidRDefault="004A43CC" w:rsidP="00391E17">
            <w:pPr>
              <w:rPr>
                <w:rFonts w:asciiTheme="majorHAnsi" w:hAnsiTheme="majorHAnsi"/>
                <w:sz w:val="20"/>
                <w:szCs w:val="20"/>
              </w:rPr>
            </w:pPr>
            <w:r w:rsidRPr="00074EEC">
              <w:rPr>
                <w:rFonts w:asciiTheme="majorHAnsi" w:hAnsiTheme="majorHAnsi"/>
                <w:sz w:val="20"/>
                <w:szCs w:val="20"/>
              </w:rPr>
              <w:t>If the review identified this area as a gap or examples are not known, this is indicated here.</w:t>
            </w:r>
          </w:p>
        </w:tc>
        <w:tc>
          <w:tcPr>
            <w:tcW w:w="1620" w:type="dxa"/>
          </w:tcPr>
          <w:p w14:paraId="24499350" w14:textId="5A7DF05A" w:rsidR="004A43CC" w:rsidRPr="00074EEC" w:rsidRDefault="004A43CC" w:rsidP="00985CDE">
            <w:pPr>
              <w:rPr>
                <w:rFonts w:asciiTheme="majorHAnsi" w:hAnsiTheme="majorHAnsi"/>
                <w:sz w:val="20"/>
                <w:szCs w:val="20"/>
              </w:rPr>
            </w:pPr>
            <w:r w:rsidRPr="00074EEC">
              <w:rPr>
                <w:rFonts w:asciiTheme="majorHAnsi" w:hAnsiTheme="majorHAnsi"/>
                <w:sz w:val="20"/>
                <w:szCs w:val="20"/>
              </w:rPr>
              <w:t>The region where example options are being implemented or</w:t>
            </w:r>
            <w:r w:rsidR="00991613">
              <w:rPr>
                <w:rFonts w:asciiTheme="majorHAnsi" w:hAnsiTheme="majorHAnsi"/>
                <w:sz w:val="20"/>
                <w:szCs w:val="20"/>
              </w:rPr>
              <w:t xml:space="preserve"> are</w:t>
            </w:r>
            <w:r w:rsidRPr="00074EEC">
              <w:rPr>
                <w:rFonts w:asciiTheme="majorHAnsi" w:hAnsiTheme="majorHAnsi"/>
                <w:sz w:val="20"/>
                <w:szCs w:val="20"/>
              </w:rPr>
              <w:t xml:space="preserve"> planned</w:t>
            </w:r>
            <w:r w:rsidR="00F46616">
              <w:rPr>
                <w:rFonts w:asciiTheme="majorHAnsi" w:hAnsiTheme="majorHAnsi"/>
                <w:sz w:val="20"/>
                <w:szCs w:val="20"/>
              </w:rPr>
              <w:t xml:space="preserve"> based on the mixed-methods review</w:t>
            </w:r>
            <w:r w:rsidRPr="00074EEC">
              <w:rPr>
                <w:rFonts w:asciiTheme="majorHAnsi" w:hAnsiTheme="majorHAnsi"/>
                <w:sz w:val="20"/>
                <w:szCs w:val="20"/>
              </w:rPr>
              <w:t>.</w:t>
            </w:r>
          </w:p>
        </w:tc>
        <w:tc>
          <w:tcPr>
            <w:tcW w:w="1638" w:type="dxa"/>
          </w:tcPr>
          <w:p w14:paraId="35A536DC" w14:textId="77777777" w:rsidR="004A43CC" w:rsidRPr="00074EEC" w:rsidRDefault="004A43CC" w:rsidP="00391E17">
            <w:pPr>
              <w:rPr>
                <w:rFonts w:asciiTheme="majorHAnsi" w:hAnsiTheme="majorHAnsi"/>
                <w:sz w:val="20"/>
                <w:szCs w:val="20"/>
              </w:rPr>
            </w:pPr>
            <w:r w:rsidRPr="00074EEC">
              <w:rPr>
                <w:rFonts w:asciiTheme="majorHAnsi" w:hAnsiTheme="majorHAnsi"/>
                <w:sz w:val="20"/>
                <w:szCs w:val="20"/>
              </w:rPr>
              <w:t xml:space="preserve">The </w:t>
            </w:r>
            <w:r>
              <w:rPr>
                <w:rFonts w:asciiTheme="majorHAnsi" w:hAnsiTheme="majorHAnsi"/>
                <w:sz w:val="20"/>
                <w:szCs w:val="20"/>
              </w:rPr>
              <w:t xml:space="preserve">primary </w:t>
            </w:r>
            <w:r w:rsidRPr="00074EEC">
              <w:rPr>
                <w:rFonts w:asciiTheme="majorHAnsi" w:hAnsiTheme="majorHAnsi"/>
                <w:sz w:val="20"/>
                <w:szCs w:val="20"/>
              </w:rPr>
              <w:t>Digital Development Principle(s) relevant to the question/decision point(s)</w:t>
            </w:r>
            <w:r>
              <w:rPr>
                <w:rFonts w:asciiTheme="majorHAnsi" w:hAnsiTheme="majorHAnsi"/>
                <w:sz w:val="20"/>
                <w:szCs w:val="20"/>
              </w:rPr>
              <w:t xml:space="preserve"> based on the author’s discretion.</w:t>
            </w:r>
          </w:p>
        </w:tc>
      </w:tr>
    </w:tbl>
    <w:p w14:paraId="27C3D086" w14:textId="77777777" w:rsidR="004A43CC" w:rsidRDefault="004A43CC" w:rsidP="004A43CC">
      <w:pPr>
        <w:rPr>
          <w:rFonts w:asciiTheme="majorHAnsi" w:hAnsiTheme="majorHAnsi"/>
        </w:rPr>
      </w:pPr>
    </w:p>
    <w:p w14:paraId="1E23760E" w14:textId="469B1D81" w:rsidR="004A43CC" w:rsidRDefault="004A43CC" w:rsidP="004A43CC">
      <w:pPr>
        <w:rPr>
          <w:rFonts w:asciiTheme="majorHAnsi" w:hAnsiTheme="majorHAnsi"/>
        </w:rPr>
      </w:pPr>
      <w:r>
        <w:rPr>
          <w:rFonts w:asciiTheme="majorHAnsi" w:hAnsiTheme="majorHAnsi"/>
        </w:rPr>
        <w:t xml:space="preserve">The table for each Key Area provides a quick view of various options </w:t>
      </w:r>
      <w:r w:rsidR="00717B41">
        <w:rPr>
          <w:rFonts w:asciiTheme="majorHAnsi" w:hAnsiTheme="majorHAnsi"/>
        </w:rPr>
        <w:t xml:space="preserve">regions </w:t>
      </w:r>
      <w:r>
        <w:rPr>
          <w:rFonts w:asciiTheme="majorHAnsi" w:hAnsiTheme="majorHAnsi"/>
        </w:rPr>
        <w:t>have taken or plan on taking based on the review</w:t>
      </w:r>
      <w:r w:rsidR="00460F7A">
        <w:rPr>
          <w:rFonts w:asciiTheme="majorHAnsi" w:hAnsiTheme="majorHAnsi"/>
        </w:rPr>
        <w:t xml:space="preserve"> in order to maintain anonymity for specific countries. However, this does not mean that option has been taken throughout the entire region, only that it was found in at least one country in that region.</w:t>
      </w:r>
      <w:r>
        <w:rPr>
          <w:rFonts w:asciiTheme="majorHAnsi" w:hAnsiTheme="majorHAnsi"/>
        </w:rPr>
        <w:t xml:space="preserve"> Appendix A </w:t>
      </w:r>
      <w:r w:rsidRPr="008F0ABB">
        <w:rPr>
          <w:rFonts w:asciiTheme="majorHAnsi" w:hAnsiTheme="majorHAnsi"/>
          <w:color w:val="A6A6A6" w:themeColor="background1" w:themeShade="A6"/>
        </w:rPr>
        <w:t xml:space="preserve">(page </w:t>
      </w:r>
      <w:r w:rsidRPr="008F0ABB">
        <w:rPr>
          <w:rFonts w:asciiTheme="majorHAnsi" w:hAnsiTheme="majorHAnsi"/>
          <w:color w:val="A6A6A6" w:themeColor="background1" w:themeShade="A6"/>
        </w:rPr>
        <w:fldChar w:fldCharType="begin"/>
      </w:r>
      <w:r w:rsidRPr="008F0ABB">
        <w:rPr>
          <w:rFonts w:asciiTheme="majorHAnsi" w:hAnsiTheme="majorHAnsi"/>
          <w:color w:val="A6A6A6" w:themeColor="background1" w:themeShade="A6"/>
        </w:rPr>
        <w:instrText xml:space="preserve"> PAGEREF _Ref445202038 \h </w:instrText>
      </w:r>
      <w:r w:rsidRPr="008F0ABB">
        <w:rPr>
          <w:rFonts w:asciiTheme="majorHAnsi" w:hAnsiTheme="majorHAnsi"/>
          <w:color w:val="A6A6A6" w:themeColor="background1" w:themeShade="A6"/>
        </w:rPr>
      </w:r>
      <w:r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60</w:t>
      </w:r>
      <w:r w:rsidRPr="008F0ABB">
        <w:rPr>
          <w:rFonts w:asciiTheme="majorHAnsi" w:hAnsiTheme="majorHAnsi"/>
          <w:color w:val="A6A6A6" w:themeColor="background1" w:themeShade="A6"/>
        </w:rPr>
        <w:fldChar w:fldCharType="end"/>
      </w:r>
      <w:r w:rsidRPr="008F0ABB">
        <w:rPr>
          <w:rFonts w:asciiTheme="majorHAnsi" w:hAnsiTheme="majorHAnsi"/>
          <w:color w:val="A6A6A6" w:themeColor="background1" w:themeShade="A6"/>
        </w:rPr>
        <w:t>)</w:t>
      </w:r>
      <w:r>
        <w:rPr>
          <w:rFonts w:asciiTheme="majorHAnsi" w:hAnsiTheme="majorHAnsi"/>
        </w:rPr>
        <w:t xml:space="preserve"> </w:t>
      </w:r>
      <w:r w:rsidR="00EB2572">
        <w:rPr>
          <w:rFonts w:asciiTheme="majorHAnsi" w:hAnsiTheme="majorHAnsi"/>
        </w:rPr>
        <w:t xml:space="preserve">includes </w:t>
      </w:r>
      <w:r>
        <w:rPr>
          <w:rFonts w:asciiTheme="majorHAnsi" w:hAnsiTheme="majorHAnsi"/>
        </w:rPr>
        <w:t>information sources for specific countries a</w:t>
      </w:r>
      <w:r w:rsidR="00D5020F">
        <w:rPr>
          <w:rFonts w:asciiTheme="majorHAnsi" w:hAnsiTheme="majorHAnsi"/>
        </w:rPr>
        <w:t xml:space="preserve">s well as pertinent </w:t>
      </w:r>
      <w:r>
        <w:rPr>
          <w:rFonts w:asciiTheme="majorHAnsi" w:hAnsiTheme="majorHAnsi"/>
        </w:rPr>
        <w:t>topics</w:t>
      </w:r>
      <w:r w:rsidR="00D5020F">
        <w:rPr>
          <w:rFonts w:asciiTheme="majorHAnsi" w:hAnsiTheme="majorHAnsi"/>
        </w:rPr>
        <w:t xml:space="preserve">. </w:t>
      </w:r>
      <w:r>
        <w:rPr>
          <w:rFonts w:asciiTheme="majorHAnsi" w:hAnsiTheme="majorHAnsi"/>
        </w:rPr>
        <w:t xml:space="preserve"> </w:t>
      </w:r>
      <w:r w:rsidR="00D5020F">
        <w:rPr>
          <w:rFonts w:asciiTheme="majorHAnsi" w:hAnsiTheme="majorHAnsi"/>
        </w:rPr>
        <w:t>C</w:t>
      </w:r>
      <w:r>
        <w:rPr>
          <w:rFonts w:asciiTheme="majorHAnsi" w:hAnsiTheme="majorHAnsi"/>
        </w:rPr>
        <w:t xml:space="preserve">ontacts who </w:t>
      </w:r>
      <w:r w:rsidR="00D5020F">
        <w:rPr>
          <w:rFonts w:asciiTheme="majorHAnsi" w:hAnsiTheme="majorHAnsi"/>
        </w:rPr>
        <w:t xml:space="preserve">are included </w:t>
      </w:r>
      <w:r>
        <w:rPr>
          <w:rFonts w:asciiTheme="majorHAnsi" w:hAnsiTheme="majorHAnsi"/>
        </w:rPr>
        <w:t xml:space="preserve">have consented to </w:t>
      </w:r>
      <w:r w:rsidR="00D5020F">
        <w:rPr>
          <w:rFonts w:asciiTheme="majorHAnsi" w:hAnsiTheme="majorHAnsi"/>
        </w:rPr>
        <w:t xml:space="preserve">share </w:t>
      </w:r>
      <w:r>
        <w:rPr>
          <w:rFonts w:asciiTheme="majorHAnsi" w:hAnsiTheme="majorHAnsi"/>
        </w:rPr>
        <w:t xml:space="preserve">their information. </w:t>
      </w:r>
    </w:p>
    <w:p w14:paraId="5174B49A" w14:textId="77777777" w:rsidR="004A43CC" w:rsidRDefault="004A43CC" w:rsidP="004A43CC">
      <w:pPr>
        <w:rPr>
          <w:rFonts w:asciiTheme="majorHAnsi" w:hAnsiTheme="majorHAnsi"/>
        </w:rPr>
      </w:pPr>
    </w:p>
    <w:p w14:paraId="054156A9" w14:textId="361B1E7A" w:rsidR="004A43CC" w:rsidRDefault="00D5020F" w:rsidP="004A43CC">
      <w:pPr>
        <w:rPr>
          <w:rFonts w:asciiTheme="majorHAnsi" w:hAnsiTheme="majorHAnsi"/>
        </w:rPr>
      </w:pPr>
      <w:r>
        <w:rPr>
          <w:rFonts w:asciiTheme="majorHAnsi" w:hAnsiTheme="majorHAnsi"/>
        </w:rPr>
        <w:t>T</w:t>
      </w:r>
      <w:r w:rsidR="004A43CC">
        <w:rPr>
          <w:rFonts w:asciiTheme="majorHAnsi" w:hAnsiTheme="majorHAnsi"/>
        </w:rPr>
        <w:t xml:space="preserve">he questions for each Key Area are meant to be addressed together, not necessarily as standalone issues. </w:t>
      </w:r>
      <w:r w:rsidR="00B11BB7">
        <w:rPr>
          <w:rFonts w:asciiTheme="majorHAnsi" w:hAnsiTheme="majorHAnsi"/>
        </w:rPr>
        <w:t xml:space="preserve">The </w:t>
      </w:r>
      <w:r w:rsidR="004A43CC">
        <w:rPr>
          <w:rFonts w:asciiTheme="majorHAnsi" w:hAnsiTheme="majorHAnsi"/>
        </w:rPr>
        <w:t xml:space="preserve">questions </w:t>
      </w:r>
      <w:r>
        <w:rPr>
          <w:rFonts w:asciiTheme="majorHAnsi" w:hAnsiTheme="majorHAnsi"/>
        </w:rPr>
        <w:t xml:space="preserve">are framed </w:t>
      </w:r>
      <w:r w:rsidR="004A43CC">
        <w:rPr>
          <w:rFonts w:asciiTheme="majorHAnsi" w:hAnsiTheme="majorHAnsi"/>
        </w:rPr>
        <w:t>as straightforward as possible to get to the key matter at hand, but many of the decisions will be interdependent. For example, in answering the question “What are the key goals at outcomes for HIE and interoperability?”, related questions such as “For what use cases will data be exchanged?”, “Will data be exchanged at the individual or aggregate level?”, and “Will data be exchanged within country, with other countries, or both?” should also be considered as the decision</w:t>
      </w:r>
      <w:r w:rsidR="00B11BB7">
        <w:rPr>
          <w:rFonts w:asciiTheme="majorHAnsi" w:hAnsiTheme="majorHAnsi"/>
        </w:rPr>
        <w:t>-</w:t>
      </w:r>
      <w:r>
        <w:rPr>
          <w:rFonts w:asciiTheme="majorHAnsi" w:hAnsiTheme="majorHAnsi"/>
        </w:rPr>
        <w:t>making processes</w:t>
      </w:r>
      <w:r w:rsidR="004A43CC">
        <w:rPr>
          <w:rFonts w:asciiTheme="majorHAnsi" w:hAnsiTheme="majorHAnsi"/>
        </w:rPr>
        <w:t xml:space="preserve"> are interrelated.</w:t>
      </w:r>
    </w:p>
    <w:p w14:paraId="2E9D5D72" w14:textId="77777777" w:rsidR="004A43CC" w:rsidRDefault="004A43CC" w:rsidP="003E688F">
      <w:pPr>
        <w:rPr>
          <w:rFonts w:asciiTheme="majorHAnsi" w:hAnsiTheme="majorHAnsi"/>
        </w:rPr>
      </w:pPr>
    </w:p>
    <w:p w14:paraId="056C123E" w14:textId="49A4F8EF" w:rsidR="00E22447" w:rsidRDefault="00E22447" w:rsidP="003E688F">
      <w:pPr>
        <w:rPr>
          <w:rFonts w:asciiTheme="majorHAnsi" w:hAnsiTheme="majorHAnsi"/>
        </w:rPr>
      </w:pPr>
      <w:r>
        <w:rPr>
          <w:rFonts w:asciiTheme="majorHAnsi" w:hAnsiTheme="majorHAnsi"/>
        </w:rPr>
        <w:t xml:space="preserve">The Principles for Digital Development are “living” guidelines geared toward helping development practitioners integrate established best practices into technology-enabled programs. These Principles arose out of the development organization community </w:t>
      </w:r>
      <w:r w:rsidR="00D5020F">
        <w:rPr>
          <w:rFonts w:asciiTheme="majorHAnsi" w:hAnsiTheme="majorHAnsi"/>
        </w:rPr>
        <w:t xml:space="preserve">need </w:t>
      </w:r>
      <w:r>
        <w:rPr>
          <w:rFonts w:asciiTheme="majorHAnsi" w:hAnsiTheme="majorHAnsi"/>
        </w:rPr>
        <w:t>to institutionalize the lessons learned in the use of ICT in development projects.</w:t>
      </w:r>
      <w:r w:rsidR="00D07235">
        <w:rPr>
          <w:rFonts w:asciiTheme="majorHAnsi" w:hAnsiTheme="majorHAnsi"/>
        </w:rPr>
        <w:t>[7]</w:t>
      </w:r>
      <w:r>
        <w:rPr>
          <w:rFonts w:asciiTheme="majorHAnsi" w:hAnsiTheme="majorHAnsi"/>
        </w:rPr>
        <w:t xml:space="preserve"> Given their importance, the exemplar questions/decision points in the framework are cross-walked to the Principles for Digital Development to provide additional insights countries may consider in working through the questions/decision points. </w:t>
      </w:r>
    </w:p>
    <w:p w14:paraId="1292FF00" w14:textId="77777777" w:rsidR="004E4E7C" w:rsidRDefault="004E4E7C" w:rsidP="003E688F">
      <w:pPr>
        <w:rPr>
          <w:rFonts w:asciiTheme="majorHAnsi" w:hAnsiTheme="majorHAnsi"/>
        </w:rPr>
      </w:pPr>
    </w:p>
    <w:p w14:paraId="2C4D6384" w14:textId="624F9D52" w:rsidR="003E688F" w:rsidRDefault="00BB0ADA" w:rsidP="00E22447">
      <w:pPr>
        <w:rPr>
          <w:rFonts w:asciiTheme="majorHAnsi" w:hAnsiTheme="majorHAnsi"/>
        </w:rPr>
      </w:pPr>
      <w:hyperlink r:id="rId20" w:history="1">
        <w:r w:rsidR="003E688F" w:rsidRPr="00A84A36">
          <w:rPr>
            <w:rStyle w:val="Hyperlink"/>
            <w:rFonts w:asciiTheme="majorHAnsi" w:hAnsiTheme="majorHAnsi"/>
          </w:rPr>
          <w:t>Principles for Digital Development</w:t>
        </w:r>
      </w:hyperlink>
      <w:r w:rsidR="004E4E7C">
        <w:rPr>
          <w:rFonts w:asciiTheme="majorHAnsi" w:hAnsiTheme="majorHAnsi"/>
        </w:rPr>
        <w:t>:</w:t>
      </w:r>
    </w:p>
    <w:p w14:paraId="2FEF817E"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Design with the User</w:t>
      </w:r>
    </w:p>
    <w:p w14:paraId="12477DA4"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Understand the Existing Ecosystem</w:t>
      </w:r>
    </w:p>
    <w:p w14:paraId="5BABBF43"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Design for Scale</w:t>
      </w:r>
    </w:p>
    <w:p w14:paraId="66D56081"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Build for Sustainability</w:t>
      </w:r>
    </w:p>
    <w:p w14:paraId="22E415AC"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Be Data Driven</w:t>
      </w:r>
    </w:p>
    <w:p w14:paraId="2320350A"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Use Open Standards, Open Data, Open Source, and Open Innovation</w:t>
      </w:r>
    </w:p>
    <w:p w14:paraId="259F7409"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Reuse and Improve</w:t>
      </w:r>
    </w:p>
    <w:p w14:paraId="713347F8"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Address Privacy &amp; Security</w:t>
      </w:r>
    </w:p>
    <w:p w14:paraId="575CF8F7" w14:textId="77777777" w:rsidR="003E688F" w:rsidRDefault="003E688F" w:rsidP="00000513">
      <w:pPr>
        <w:pStyle w:val="ListParagraph"/>
        <w:numPr>
          <w:ilvl w:val="0"/>
          <w:numId w:val="1"/>
        </w:numPr>
        <w:ind w:left="360"/>
        <w:rPr>
          <w:rFonts w:asciiTheme="majorHAnsi" w:hAnsiTheme="majorHAnsi"/>
        </w:rPr>
      </w:pPr>
      <w:r>
        <w:rPr>
          <w:rFonts w:asciiTheme="majorHAnsi" w:hAnsiTheme="majorHAnsi"/>
        </w:rPr>
        <w:t>Be Collaborative</w:t>
      </w:r>
    </w:p>
    <w:p w14:paraId="189CF093" w14:textId="77777777" w:rsidR="005668C1" w:rsidRDefault="005668C1" w:rsidP="005668C1">
      <w:pPr>
        <w:rPr>
          <w:rFonts w:asciiTheme="majorHAnsi" w:hAnsiTheme="majorHAnsi"/>
        </w:rPr>
      </w:pPr>
    </w:p>
    <w:p w14:paraId="6801F7A7" w14:textId="52301976" w:rsidR="00C52C8A" w:rsidRDefault="00C52C8A" w:rsidP="005668C1">
      <w:pPr>
        <w:rPr>
          <w:rFonts w:asciiTheme="majorHAnsi" w:hAnsiTheme="majorHAnsi"/>
        </w:rPr>
      </w:pPr>
      <w:r>
        <w:rPr>
          <w:rFonts w:asciiTheme="majorHAnsi" w:hAnsiTheme="majorHAnsi"/>
        </w:rPr>
        <w:t xml:space="preserve">The HIE challenges identified through the review and presented in the Key Areas are summarized in Chapter 5 </w:t>
      </w:r>
      <w:r w:rsidRPr="006A3840">
        <w:rPr>
          <w:rFonts w:asciiTheme="majorHAnsi" w:hAnsiTheme="majorHAnsi"/>
          <w:color w:val="A6A6A6" w:themeColor="background1" w:themeShade="A6"/>
        </w:rPr>
        <w:t xml:space="preserve">(page </w:t>
      </w:r>
      <w:r w:rsidRPr="006A3840">
        <w:rPr>
          <w:rFonts w:asciiTheme="majorHAnsi" w:hAnsiTheme="majorHAnsi"/>
          <w:color w:val="A6A6A6" w:themeColor="background1" w:themeShade="A6"/>
        </w:rPr>
        <w:fldChar w:fldCharType="begin"/>
      </w:r>
      <w:r w:rsidRPr="006A3840">
        <w:rPr>
          <w:rFonts w:asciiTheme="majorHAnsi" w:hAnsiTheme="majorHAnsi"/>
          <w:color w:val="A6A6A6" w:themeColor="background1" w:themeShade="A6"/>
        </w:rPr>
        <w:instrText xml:space="preserve"> PAGEREF _Ref445202021 \h </w:instrText>
      </w:r>
      <w:r w:rsidRPr="006A3840">
        <w:rPr>
          <w:rFonts w:asciiTheme="majorHAnsi" w:hAnsiTheme="majorHAnsi"/>
          <w:color w:val="A6A6A6" w:themeColor="background1" w:themeShade="A6"/>
        </w:rPr>
      </w:r>
      <w:r w:rsidRPr="006A3840">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50</w:t>
      </w:r>
      <w:r w:rsidRPr="006A3840">
        <w:rPr>
          <w:rFonts w:asciiTheme="majorHAnsi" w:hAnsiTheme="majorHAnsi"/>
          <w:color w:val="A6A6A6" w:themeColor="background1" w:themeShade="A6"/>
        </w:rPr>
        <w:fldChar w:fldCharType="end"/>
      </w:r>
      <w:r w:rsidRPr="006A3840">
        <w:rPr>
          <w:rFonts w:asciiTheme="majorHAnsi" w:hAnsiTheme="majorHAnsi"/>
          <w:color w:val="A6A6A6" w:themeColor="background1" w:themeShade="A6"/>
        </w:rPr>
        <w:t>)</w:t>
      </w:r>
      <w:r>
        <w:rPr>
          <w:rFonts w:asciiTheme="majorHAnsi" w:hAnsiTheme="majorHAnsi"/>
        </w:rPr>
        <w:t xml:space="preserve">: Identified HIE Challenges. The gaps and </w:t>
      </w:r>
      <w:r w:rsidR="000E55BC">
        <w:rPr>
          <w:rFonts w:asciiTheme="majorHAnsi" w:hAnsiTheme="majorHAnsi"/>
        </w:rPr>
        <w:t xml:space="preserve">possible </w:t>
      </w:r>
      <w:r>
        <w:rPr>
          <w:rFonts w:asciiTheme="majorHAnsi" w:hAnsiTheme="majorHAnsi"/>
        </w:rPr>
        <w:t xml:space="preserve">future research topics are discussed in Chapter 6 </w:t>
      </w:r>
      <w:r w:rsidRPr="006A3840">
        <w:rPr>
          <w:rFonts w:asciiTheme="majorHAnsi" w:hAnsiTheme="majorHAnsi"/>
          <w:color w:val="A6A6A6" w:themeColor="background1" w:themeShade="A6"/>
        </w:rPr>
        <w:t xml:space="preserve">(page </w:t>
      </w:r>
      <w:r w:rsidRPr="006A3840">
        <w:rPr>
          <w:rFonts w:asciiTheme="majorHAnsi" w:hAnsiTheme="majorHAnsi"/>
          <w:color w:val="A6A6A6" w:themeColor="background1" w:themeShade="A6"/>
        </w:rPr>
        <w:fldChar w:fldCharType="begin"/>
      </w:r>
      <w:r w:rsidRPr="006A3840">
        <w:rPr>
          <w:rFonts w:asciiTheme="majorHAnsi" w:hAnsiTheme="majorHAnsi"/>
          <w:color w:val="A6A6A6" w:themeColor="background1" w:themeShade="A6"/>
        </w:rPr>
        <w:instrText xml:space="preserve"> PAGEREF _Ref445202027 \h </w:instrText>
      </w:r>
      <w:r w:rsidRPr="006A3840">
        <w:rPr>
          <w:rFonts w:asciiTheme="majorHAnsi" w:hAnsiTheme="majorHAnsi"/>
          <w:color w:val="A6A6A6" w:themeColor="background1" w:themeShade="A6"/>
        </w:rPr>
      </w:r>
      <w:r w:rsidRPr="006A3840">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53</w:t>
      </w:r>
      <w:r w:rsidRPr="006A3840">
        <w:rPr>
          <w:rFonts w:asciiTheme="majorHAnsi" w:hAnsiTheme="majorHAnsi"/>
          <w:color w:val="A6A6A6" w:themeColor="background1" w:themeShade="A6"/>
        </w:rPr>
        <w:fldChar w:fldCharType="end"/>
      </w:r>
      <w:r w:rsidRPr="006A3840">
        <w:rPr>
          <w:rFonts w:asciiTheme="majorHAnsi" w:hAnsiTheme="majorHAnsi"/>
          <w:color w:val="A6A6A6" w:themeColor="background1" w:themeShade="A6"/>
        </w:rPr>
        <w:t>)</w:t>
      </w:r>
      <w:r>
        <w:rPr>
          <w:rFonts w:asciiTheme="majorHAnsi" w:hAnsiTheme="majorHAnsi"/>
        </w:rPr>
        <w:t>: Gaps for Future Research.</w:t>
      </w:r>
    </w:p>
    <w:p w14:paraId="2E86ABC5" w14:textId="77777777" w:rsidR="00C52C8A" w:rsidRDefault="00C52C8A" w:rsidP="005668C1">
      <w:pPr>
        <w:rPr>
          <w:rFonts w:asciiTheme="majorHAnsi" w:hAnsiTheme="majorHAnsi"/>
        </w:rPr>
      </w:pPr>
    </w:p>
    <w:p w14:paraId="78FF0B00" w14:textId="2D37FC0A" w:rsidR="005668C1" w:rsidRDefault="005668C1" w:rsidP="00B827E8">
      <w:pPr>
        <w:spacing w:after="120"/>
        <w:rPr>
          <w:rFonts w:asciiTheme="majorHAnsi" w:hAnsiTheme="majorHAnsi"/>
        </w:rPr>
      </w:pPr>
      <w:r>
        <w:rPr>
          <w:rFonts w:asciiTheme="majorHAnsi" w:hAnsiTheme="majorHAnsi"/>
        </w:rPr>
        <w:t xml:space="preserve">Finally, this report also includes four </w:t>
      </w:r>
      <w:r>
        <w:rPr>
          <w:rFonts w:asciiTheme="majorHAnsi" w:hAnsiTheme="majorHAnsi"/>
          <w:i/>
        </w:rPr>
        <w:t xml:space="preserve">Best Practices </w:t>
      </w:r>
      <w:r w:rsidR="00B827E8">
        <w:rPr>
          <w:rFonts w:asciiTheme="majorHAnsi" w:hAnsiTheme="majorHAnsi"/>
          <w:i/>
        </w:rPr>
        <w:t>Features</w:t>
      </w:r>
      <w:r w:rsidR="00B827E8">
        <w:rPr>
          <w:rFonts w:asciiTheme="majorHAnsi" w:hAnsiTheme="majorHAnsi"/>
        </w:rPr>
        <w:t xml:space="preserve"> that illustrate a case study example for a particular Key Area.</w:t>
      </w:r>
      <w:r w:rsidR="006406BC">
        <w:rPr>
          <w:rFonts w:asciiTheme="majorHAnsi" w:hAnsiTheme="majorHAnsi"/>
        </w:rPr>
        <w:t xml:space="preserve"> Other best practices were also identified during the course of the review.</w:t>
      </w:r>
      <w:r w:rsidR="00B827E8">
        <w:rPr>
          <w:rFonts w:asciiTheme="majorHAnsi" w:hAnsiTheme="majorHAnsi"/>
        </w:rPr>
        <w:t xml:space="preserve"> These </w:t>
      </w:r>
      <w:r w:rsidR="00B827E8">
        <w:rPr>
          <w:rFonts w:asciiTheme="majorHAnsi" w:hAnsiTheme="majorHAnsi"/>
          <w:i/>
        </w:rPr>
        <w:t>Best Practices Features</w:t>
      </w:r>
      <w:r w:rsidR="00B827E8">
        <w:rPr>
          <w:rFonts w:asciiTheme="majorHAnsi" w:hAnsiTheme="majorHAnsi"/>
        </w:rPr>
        <w:t xml:space="preserve"> </w:t>
      </w:r>
      <w:r w:rsidR="0007365C">
        <w:rPr>
          <w:rFonts w:asciiTheme="majorHAnsi" w:hAnsiTheme="majorHAnsi"/>
        </w:rPr>
        <w:t>plus</w:t>
      </w:r>
      <w:r w:rsidR="0080157C">
        <w:rPr>
          <w:rFonts w:asciiTheme="majorHAnsi" w:hAnsiTheme="majorHAnsi"/>
        </w:rPr>
        <w:t xml:space="preserve"> one </w:t>
      </w:r>
      <w:r w:rsidR="0080157C" w:rsidRPr="0080157C">
        <w:rPr>
          <w:rFonts w:asciiTheme="majorHAnsi" w:hAnsiTheme="majorHAnsi"/>
          <w:i/>
        </w:rPr>
        <w:t>Sidebar</w:t>
      </w:r>
      <w:r w:rsidR="0080157C">
        <w:rPr>
          <w:rFonts w:asciiTheme="majorHAnsi" w:hAnsiTheme="majorHAnsi"/>
        </w:rPr>
        <w:t xml:space="preserve"> </w:t>
      </w:r>
      <w:r w:rsidR="00B827E8" w:rsidRPr="0080157C">
        <w:rPr>
          <w:rFonts w:asciiTheme="majorHAnsi" w:hAnsiTheme="majorHAnsi"/>
        </w:rPr>
        <w:t>provide</w:t>
      </w:r>
      <w:r w:rsidR="00B827E8">
        <w:rPr>
          <w:rFonts w:asciiTheme="majorHAnsi" w:hAnsiTheme="majorHAnsi"/>
        </w:rPr>
        <w:t xml:space="preserve"> examples of HIE models taken in different areas of the globe that countries may want to consider. The features are:</w:t>
      </w:r>
    </w:p>
    <w:p w14:paraId="26347AD1" w14:textId="1A4DA19B" w:rsidR="00B827E8" w:rsidRPr="00B827E8" w:rsidRDefault="00B827E8" w:rsidP="00B827E8">
      <w:pPr>
        <w:pStyle w:val="ListParagraph"/>
        <w:numPr>
          <w:ilvl w:val="0"/>
          <w:numId w:val="41"/>
        </w:numPr>
        <w:rPr>
          <w:rFonts w:asciiTheme="majorHAnsi" w:hAnsiTheme="majorHAnsi"/>
        </w:rPr>
      </w:pPr>
      <w:r w:rsidRPr="00571035">
        <w:rPr>
          <w:rFonts w:asciiTheme="majorHAnsi" w:hAnsiTheme="majorHAnsi"/>
          <w:i/>
        </w:rPr>
        <w:t>Best Practices Feature #1</w:t>
      </w:r>
      <w:r w:rsidRPr="00B827E8">
        <w:rPr>
          <w:rFonts w:asciiTheme="majorHAnsi" w:hAnsiTheme="majorHAnsi"/>
        </w:rPr>
        <w:t xml:space="preserve"> – HIE Governance Framework in the Philippines</w:t>
      </w:r>
      <w:r w:rsidR="002B7480">
        <w:rPr>
          <w:rFonts w:asciiTheme="majorHAnsi" w:hAnsiTheme="majorHAnsi"/>
        </w:rPr>
        <w:t xml:space="preserve"> </w:t>
      </w:r>
      <w:r w:rsidR="002B7480" w:rsidRPr="008F0ABB">
        <w:rPr>
          <w:rFonts w:asciiTheme="majorHAnsi" w:hAnsiTheme="majorHAnsi"/>
          <w:color w:val="A6A6A6" w:themeColor="background1" w:themeShade="A6"/>
        </w:rPr>
        <w:t xml:space="preserve">(page </w:t>
      </w:r>
      <w:r w:rsidR="002B7480" w:rsidRPr="008F0ABB">
        <w:rPr>
          <w:rFonts w:asciiTheme="majorHAnsi" w:hAnsiTheme="majorHAnsi"/>
          <w:color w:val="A6A6A6" w:themeColor="background1" w:themeShade="A6"/>
        </w:rPr>
        <w:fldChar w:fldCharType="begin"/>
      </w:r>
      <w:r w:rsidR="002B7480" w:rsidRPr="008F0ABB">
        <w:rPr>
          <w:rFonts w:asciiTheme="majorHAnsi" w:hAnsiTheme="majorHAnsi"/>
          <w:color w:val="A6A6A6" w:themeColor="background1" w:themeShade="A6"/>
        </w:rPr>
        <w:instrText xml:space="preserve"> PAGEREF _Ref445721424 \h </w:instrText>
      </w:r>
      <w:r w:rsidR="002B7480" w:rsidRPr="008F0ABB">
        <w:rPr>
          <w:rFonts w:asciiTheme="majorHAnsi" w:hAnsiTheme="majorHAnsi"/>
          <w:color w:val="A6A6A6" w:themeColor="background1" w:themeShade="A6"/>
        </w:rPr>
      </w:r>
      <w:r w:rsidR="002B7480"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18</w:t>
      </w:r>
      <w:r w:rsidR="002B7480" w:rsidRPr="008F0ABB">
        <w:rPr>
          <w:rFonts w:asciiTheme="majorHAnsi" w:hAnsiTheme="majorHAnsi"/>
          <w:color w:val="A6A6A6" w:themeColor="background1" w:themeShade="A6"/>
        </w:rPr>
        <w:fldChar w:fldCharType="end"/>
      </w:r>
      <w:r w:rsidR="002B7480" w:rsidRPr="008F0ABB">
        <w:rPr>
          <w:rFonts w:asciiTheme="majorHAnsi" w:hAnsiTheme="majorHAnsi"/>
          <w:color w:val="A6A6A6" w:themeColor="background1" w:themeShade="A6"/>
        </w:rPr>
        <w:t>)</w:t>
      </w:r>
    </w:p>
    <w:p w14:paraId="481AA533" w14:textId="2F3D73B4" w:rsidR="00B827E8" w:rsidRPr="008F0ABB" w:rsidRDefault="00B827E8" w:rsidP="00B827E8">
      <w:pPr>
        <w:pStyle w:val="ListParagraph"/>
        <w:numPr>
          <w:ilvl w:val="0"/>
          <w:numId w:val="41"/>
        </w:numPr>
        <w:rPr>
          <w:rFonts w:asciiTheme="majorHAnsi" w:hAnsiTheme="majorHAnsi"/>
          <w:color w:val="A6A6A6" w:themeColor="background1" w:themeShade="A6"/>
        </w:rPr>
      </w:pPr>
      <w:r w:rsidRPr="00571035">
        <w:rPr>
          <w:rFonts w:asciiTheme="majorHAnsi" w:hAnsiTheme="majorHAnsi"/>
          <w:i/>
        </w:rPr>
        <w:t>Best Practices Feature #2</w:t>
      </w:r>
      <w:r w:rsidRPr="00B827E8">
        <w:rPr>
          <w:rFonts w:asciiTheme="majorHAnsi" w:hAnsiTheme="majorHAnsi"/>
        </w:rPr>
        <w:t xml:space="preserve"> – Policies for eHealth and HIE in </w:t>
      </w:r>
      <w:r w:rsidR="009F7CCD">
        <w:rPr>
          <w:rFonts w:asciiTheme="majorHAnsi" w:hAnsiTheme="majorHAnsi"/>
        </w:rPr>
        <w:t>Peru</w:t>
      </w:r>
      <w:r w:rsidR="00162301">
        <w:rPr>
          <w:rFonts w:asciiTheme="majorHAnsi" w:hAnsiTheme="majorHAnsi"/>
        </w:rPr>
        <w:t xml:space="preserve"> </w:t>
      </w:r>
      <w:r w:rsidR="002B7480" w:rsidRPr="008F0ABB">
        <w:rPr>
          <w:rFonts w:asciiTheme="majorHAnsi" w:hAnsiTheme="majorHAnsi"/>
          <w:color w:val="A6A6A6" w:themeColor="background1" w:themeShade="A6"/>
        </w:rPr>
        <w:t xml:space="preserve">(page </w:t>
      </w:r>
      <w:r w:rsidR="002B7480" w:rsidRPr="008F0ABB">
        <w:rPr>
          <w:rFonts w:asciiTheme="majorHAnsi" w:hAnsiTheme="majorHAnsi"/>
          <w:color w:val="A6A6A6" w:themeColor="background1" w:themeShade="A6"/>
        </w:rPr>
        <w:fldChar w:fldCharType="begin"/>
      </w:r>
      <w:r w:rsidR="002B7480" w:rsidRPr="008F0ABB">
        <w:rPr>
          <w:rFonts w:asciiTheme="majorHAnsi" w:hAnsiTheme="majorHAnsi"/>
          <w:color w:val="A6A6A6" w:themeColor="background1" w:themeShade="A6"/>
        </w:rPr>
        <w:instrText xml:space="preserve"> PAGEREF _Ref445732467 \h </w:instrText>
      </w:r>
      <w:r w:rsidR="002B7480" w:rsidRPr="008F0ABB">
        <w:rPr>
          <w:rFonts w:asciiTheme="majorHAnsi" w:hAnsiTheme="majorHAnsi"/>
          <w:color w:val="A6A6A6" w:themeColor="background1" w:themeShade="A6"/>
        </w:rPr>
      </w:r>
      <w:r w:rsidR="002B7480"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23</w:t>
      </w:r>
      <w:r w:rsidR="002B7480" w:rsidRPr="008F0ABB">
        <w:rPr>
          <w:rFonts w:asciiTheme="majorHAnsi" w:hAnsiTheme="majorHAnsi"/>
          <w:color w:val="A6A6A6" w:themeColor="background1" w:themeShade="A6"/>
        </w:rPr>
        <w:fldChar w:fldCharType="end"/>
      </w:r>
      <w:r w:rsidR="002B7480" w:rsidRPr="008F0ABB">
        <w:rPr>
          <w:rFonts w:asciiTheme="majorHAnsi" w:hAnsiTheme="majorHAnsi"/>
          <w:color w:val="A6A6A6" w:themeColor="background1" w:themeShade="A6"/>
        </w:rPr>
        <w:t>)</w:t>
      </w:r>
    </w:p>
    <w:p w14:paraId="5FD7DC80" w14:textId="638C834D" w:rsidR="00B827E8" w:rsidRPr="008F0ABB" w:rsidRDefault="00B827E8" w:rsidP="00B827E8">
      <w:pPr>
        <w:pStyle w:val="ListParagraph"/>
        <w:numPr>
          <w:ilvl w:val="0"/>
          <w:numId w:val="41"/>
        </w:numPr>
        <w:rPr>
          <w:rFonts w:asciiTheme="majorHAnsi" w:hAnsiTheme="majorHAnsi"/>
          <w:color w:val="A6A6A6" w:themeColor="background1" w:themeShade="A6"/>
        </w:rPr>
      </w:pPr>
      <w:r w:rsidRPr="00571035">
        <w:rPr>
          <w:rFonts w:asciiTheme="majorHAnsi" w:hAnsiTheme="majorHAnsi"/>
          <w:i/>
        </w:rPr>
        <w:t>Best Practices Feature #3</w:t>
      </w:r>
      <w:r w:rsidRPr="00B827E8">
        <w:rPr>
          <w:rFonts w:asciiTheme="majorHAnsi" w:hAnsiTheme="majorHAnsi"/>
        </w:rPr>
        <w:t xml:space="preserve"> – Standards and Guidelines in Kenya</w:t>
      </w:r>
      <w:r w:rsidR="002B7480">
        <w:rPr>
          <w:rFonts w:asciiTheme="majorHAnsi" w:hAnsiTheme="majorHAnsi"/>
        </w:rPr>
        <w:t xml:space="preserve"> </w:t>
      </w:r>
      <w:r w:rsidR="002B7480" w:rsidRPr="008F0ABB">
        <w:rPr>
          <w:rFonts w:asciiTheme="majorHAnsi" w:hAnsiTheme="majorHAnsi"/>
          <w:color w:val="A6A6A6" w:themeColor="background1" w:themeShade="A6"/>
        </w:rPr>
        <w:t xml:space="preserve">(page </w:t>
      </w:r>
      <w:r w:rsidR="002B7480" w:rsidRPr="008F0ABB">
        <w:rPr>
          <w:rFonts w:asciiTheme="majorHAnsi" w:hAnsiTheme="majorHAnsi"/>
          <w:color w:val="A6A6A6" w:themeColor="background1" w:themeShade="A6"/>
        </w:rPr>
        <w:fldChar w:fldCharType="begin"/>
      </w:r>
      <w:r w:rsidR="002B7480" w:rsidRPr="008F0ABB">
        <w:rPr>
          <w:rFonts w:asciiTheme="majorHAnsi" w:hAnsiTheme="majorHAnsi"/>
          <w:color w:val="A6A6A6" w:themeColor="background1" w:themeShade="A6"/>
        </w:rPr>
        <w:instrText xml:space="preserve"> PAGEREF _Ref445202059 \h </w:instrText>
      </w:r>
      <w:r w:rsidR="002B7480" w:rsidRPr="008F0ABB">
        <w:rPr>
          <w:rFonts w:asciiTheme="majorHAnsi" w:hAnsiTheme="majorHAnsi"/>
          <w:color w:val="A6A6A6" w:themeColor="background1" w:themeShade="A6"/>
        </w:rPr>
      </w:r>
      <w:r w:rsidR="002B7480"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28</w:t>
      </w:r>
      <w:r w:rsidR="002B7480" w:rsidRPr="008F0ABB">
        <w:rPr>
          <w:rFonts w:asciiTheme="majorHAnsi" w:hAnsiTheme="majorHAnsi"/>
          <w:color w:val="A6A6A6" w:themeColor="background1" w:themeShade="A6"/>
        </w:rPr>
        <w:fldChar w:fldCharType="end"/>
      </w:r>
      <w:r w:rsidR="002B7480" w:rsidRPr="008F0ABB">
        <w:rPr>
          <w:rFonts w:asciiTheme="majorHAnsi" w:hAnsiTheme="majorHAnsi"/>
          <w:color w:val="A6A6A6" w:themeColor="background1" w:themeShade="A6"/>
        </w:rPr>
        <w:t>)</w:t>
      </w:r>
    </w:p>
    <w:p w14:paraId="67531CB7" w14:textId="209602AE" w:rsidR="00B827E8" w:rsidRPr="00B827E8" w:rsidRDefault="00B827E8" w:rsidP="00B827E8">
      <w:pPr>
        <w:pStyle w:val="ListParagraph"/>
        <w:numPr>
          <w:ilvl w:val="0"/>
          <w:numId w:val="41"/>
        </w:numPr>
        <w:rPr>
          <w:rFonts w:asciiTheme="majorHAnsi" w:hAnsiTheme="majorHAnsi"/>
        </w:rPr>
      </w:pPr>
      <w:r w:rsidRPr="00571035">
        <w:rPr>
          <w:rFonts w:asciiTheme="majorHAnsi" w:hAnsiTheme="majorHAnsi"/>
          <w:i/>
        </w:rPr>
        <w:t>Best Practices Feature #4</w:t>
      </w:r>
      <w:r w:rsidRPr="00B827E8">
        <w:rPr>
          <w:rFonts w:asciiTheme="majorHAnsi" w:hAnsiTheme="majorHAnsi"/>
        </w:rPr>
        <w:t xml:space="preserve"> – Data Use Agreements in the United States</w:t>
      </w:r>
      <w:r w:rsidR="002B7480">
        <w:rPr>
          <w:rFonts w:asciiTheme="majorHAnsi" w:hAnsiTheme="majorHAnsi"/>
        </w:rPr>
        <w:t xml:space="preserve"> </w:t>
      </w:r>
      <w:r w:rsidR="002B7480" w:rsidRPr="008F0ABB">
        <w:rPr>
          <w:rFonts w:asciiTheme="majorHAnsi" w:hAnsiTheme="majorHAnsi"/>
          <w:color w:val="A6A6A6" w:themeColor="background1" w:themeShade="A6"/>
        </w:rPr>
        <w:t xml:space="preserve">(page </w:t>
      </w:r>
      <w:r w:rsidR="002B7480" w:rsidRPr="008F0ABB">
        <w:rPr>
          <w:rFonts w:asciiTheme="majorHAnsi" w:hAnsiTheme="majorHAnsi"/>
          <w:color w:val="A6A6A6" w:themeColor="background1" w:themeShade="A6"/>
        </w:rPr>
        <w:fldChar w:fldCharType="begin"/>
      </w:r>
      <w:r w:rsidR="002B7480" w:rsidRPr="008F0ABB">
        <w:rPr>
          <w:rFonts w:asciiTheme="majorHAnsi" w:hAnsiTheme="majorHAnsi"/>
          <w:color w:val="A6A6A6" w:themeColor="background1" w:themeShade="A6"/>
        </w:rPr>
        <w:instrText xml:space="preserve"> PAGEREF _Ref446328812 \h </w:instrText>
      </w:r>
      <w:r w:rsidR="002B7480" w:rsidRPr="008F0ABB">
        <w:rPr>
          <w:rFonts w:asciiTheme="majorHAnsi" w:hAnsiTheme="majorHAnsi"/>
          <w:color w:val="A6A6A6" w:themeColor="background1" w:themeShade="A6"/>
        </w:rPr>
      </w:r>
      <w:r w:rsidR="002B7480"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43</w:t>
      </w:r>
      <w:r w:rsidR="002B7480" w:rsidRPr="008F0ABB">
        <w:rPr>
          <w:rFonts w:asciiTheme="majorHAnsi" w:hAnsiTheme="majorHAnsi"/>
          <w:color w:val="A6A6A6" w:themeColor="background1" w:themeShade="A6"/>
        </w:rPr>
        <w:fldChar w:fldCharType="end"/>
      </w:r>
      <w:r w:rsidR="002B7480" w:rsidRPr="008F0ABB">
        <w:rPr>
          <w:rFonts w:asciiTheme="majorHAnsi" w:hAnsiTheme="majorHAnsi"/>
          <w:color w:val="A6A6A6" w:themeColor="background1" w:themeShade="A6"/>
        </w:rPr>
        <w:t>)</w:t>
      </w:r>
    </w:p>
    <w:p w14:paraId="3858598B" w14:textId="35F1A1A8" w:rsidR="00B827E8" w:rsidRPr="00B827E8" w:rsidRDefault="002B7480" w:rsidP="00B827E8">
      <w:pPr>
        <w:pStyle w:val="ListParagraph"/>
        <w:numPr>
          <w:ilvl w:val="0"/>
          <w:numId w:val="41"/>
        </w:numPr>
        <w:rPr>
          <w:rFonts w:asciiTheme="majorHAnsi" w:hAnsiTheme="majorHAnsi"/>
        </w:rPr>
      </w:pPr>
      <w:r w:rsidRPr="00571035">
        <w:rPr>
          <w:rFonts w:asciiTheme="majorHAnsi" w:hAnsiTheme="majorHAnsi"/>
          <w:i/>
        </w:rPr>
        <w:t>Sidebar</w:t>
      </w:r>
      <w:r>
        <w:rPr>
          <w:rFonts w:asciiTheme="majorHAnsi" w:hAnsiTheme="majorHAnsi"/>
        </w:rPr>
        <w:t xml:space="preserve">: Case Reporting as a Use Case </w:t>
      </w:r>
      <w:r w:rsidRPr="008F0ABB">
        <w:rPr>
          <w:rFonts w:asciiTheme="majorHAnsi" w:hAnsiTheme="majorHAnsi"/>
          <w:color w:val="A6A6A6" w:themeColor="background1" w:themeShade="A6"/>
        </w:rPr>
        <w:t xml:space="preserve">(page </w:t>
      </w:r>
      <w:r w:rsidRPr="008F0ABB">
        <w:rPr>
          <w:rFonts w:asciiTheme="majorHAnsi" w:hAnsiTheme="majorHAnsi"/>
          <w:color w:val="A6A6A6" w:themeColor="background1" w:themeShade="A6"/>
        </w:rPr>
        <w:fldChar w:fldCharType="begin"/>
      </w:r>
      <w:r w:rsidRPr="008F0ABB">
        <w:rPr>
          <w:rFonts w:asciiTheme="majorHAnsi" w:hAnsiTheme="majorHAnsi"/>
          <w:color w:val="A6A6A6" w:themeColor="background1" w:themeShade="A6"/>
        </w:rPr>
        <w:instrText xml:space="preserve"> PAGEREF _Ref445289399 \h </w:instrText>
      </w:r>
      <w:r w:rsidRPr="008F0ABB">
        <w:rPr>
          <w:rFonts w:asciiTheme="majorHAnsi" w:hAnsiTheme="majorHAnsi"/>
          <w:color w:val="A6A6A6" w:themeColor="background1" w:themeShade="A6"/>
        </w:rPr>
      </w:r>
      <w:r w:rsidRPr="008F0ABB">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55</w:t>
      </w:r>
      <w:r w:rsidRPr="008F0ABB">
        <w:rPr>
          <w:rFonts w:asciiTheme="majorHAnsi" w:hAnsiTheme="majorHAnsi"/>
          <w:color w:val="A6A6A6" w:themeColor="background1" w:themeShade="A6"/>
        </w:rPr>
        <w:fldChar w:fldCharType="end"/>
      </w:r>
      <w:r w:rsidRPr="008F0ABB">
        <w:rPr>
          <w:rFonts w:asciiTheme="majorHAnsi" w:hAnsiTheme="majorHAnsi"/>
          <w:color w:val="A6A6A6" w:themeColor="background1" w:themeShade="A6"/>
        </w:rPr>
        <w:t>)</w:t>
      </w:r>
      <w:r>
        <w:rPr>
          <w:rFonts w:asciiTheme="majorHAnsi" w:hAnsiTheme="majorHAnsi"/>
        </w:rPr>
        <w:t xml:space="preserve">. </w:t>
      </w:r>
    </w:p>
    <w:p w14:paraId="2D8C5DE0" w14:textId="77777777" w:rsidR="008A76FA" w:rsidRDefault="008A76FA" w:rsidP="008A76FA">
      <w:pPr>
        <w:rPr>
          <w:rFonts w:asciiTheme="majorHAnsi" w:hAnsiTheme="majorHAnsi"/>
        </w:rPr>
      </w:pPr>
    </w:p>
    <w:p w14:paraId="7192E237" w14:textId="77777777" w:rsidR="0012227E" w:rsidRDefault="0012227E" w:rsidP="008A76FA">
      <w:pPr>
        <w:rPr>
          <w:rFonts w:asciiTheme="majorHAnsi" w:hAnsiTheme="majorHAnsi"/>
        </w:rPr>
      </w:pPr>
    </w:p>
    <w:p w14:paraId="2AFD52A4" w14:textId="77777777" w:rsidR="0012227E" w:rsidRPr="00184BA1" w:rsidRDefault="0012227E" w:rsidP="008A76FA">
      <w:pPr>
        <w:rPr>
          <w:rFonts w:asciiTheme="majorHAnsi" w:hAnsiTheme="majorHAnsi"/>
          <w:b/>
          <w:sz w:val="28"/>
          <w:szCs w:val="28"/>
        </w:rPr>
        <w:sectPr w:rsidR="0012227E" w:rsidRPr="00184BA1">
          <w:footnotePr>
            <w:numFmt w:val="lowerLetter"/>
          </w:footnotePr>
          <w:pgSz w:w="12240" w:h="15840"/>
          <w:pgMar w:top="1440" w:right="1440" w:bottom="1440" w:left="1440" w:header="720" w:footer="720" w:gutter="0"/>
          <w:cols w:space="720"/>
          <w:docGrid w:linePitch="360"/>
        </w:sectPr>
      </w:pPr>
    </w:p>
    <w:p w14:paraId="2A188631" w14:textId="77777777" w:rsidR="003E688F" w:rsidRPr="00C624DD" w:rsidRDefault="003E688F" w:rsidP="00C624DD">
      <w:pPr>
        <w:pStyle w:val="ListParagraph"/>
        <w:numPr>
          <w:ilvl w:val="1"/>
          <w:numId w:val="4"/>
        </w:numPr>
        <w:jc w:val="center"/>
        <w:rPr>
          <w:rFonts w:asciiTheme="majorHAnsi" w:hAnsiTheme="majorHAnsi"/>
          <w:b/>
          <w:sz w:val="28"/>
          <w:szCs w:val="28"/>
        </w:rPr>
      </w:pPr>
      <w:bookmarkStart w:id="7" w:name="_Ref445201967"/>
      <w:r w:rsidRPr="00C624DD">
        <w:rPr>
          <w:rFonts w:asciiTheme="majorHAnsi" w:hAnsiTheme="majorHAnsi"/>
          <w:b/>
          <w:sz w:val="28"/>
          <w:szCs w:val="28"/>
        </w:rPr>
        <w:t>Key Area 1: Vision &amp; Strategy</w:t>
      </w:r>
      <w:bookmarkEnd w:id="7"/>
    </w:p>
    <w:p w14:paraId="09E0C006" w14:textId="77777777" w:rsidR="004E4E7C" w:rsidRDefault="004E4E7C" w:rsidP="004E4E7C">
      <w:pPr>
        <w:rPr>
          <w:rFonts w:asciiTheme="majorHAnsi" w:hAnsiTheme="majorHAnsi"/>
        </w:rPr>
      </w:pPr>
    </w:p>
    <w:p w14:paraId="63C9AAC7" w14:textId="2BB48325" w:rsidR="004E4E7C" w:rsidRDefault="006765F3" w:rsidP="004E4E7C">
      <w:pPr>
        <w:rPr>
          <w:rFonts w:asciiTheme="majorHAnsi" w:hAnsiTheme="majorHAnsi"/>
        </w:rPr>
      </w:pPr>
      <w:r>
        <w:rPr>
          <w:rFonts w:asciiTheme="majorHAnsi" w:hAnsiTheme="majorHAnsi"/>
        </w:rPr>
        <w:t>This Key Area addresses the up-front questions about the vision and strategy for HIE that appear necessary for successful development of integrated infrastructure and ensuring that the right stakeholders are involved from the beginning. While many pilots and demonstration projects address a specific health issue, involve a small group of stakeholders, or are implemented in a small geographic region, the following decision points will help to ensure a shared vision and roadmap for HIE expansion.</w:t>
      </w:r>
    </w:p>
    <w:p w14:paraId="4AA9843C" w14:textId="77777777" w:rsidR="004E4E7C" w:rsidRDefault="004E4E7C" w:rsidP="004E4E7C">
      <w:pPr>
        <w:rPr>
          <w:rFonts w:asciiTheme="majorHAnsi" w:hAnsiTheme="majorHAnsi"/>
        </w:rPr>
      </w:pPr>
    </w:p>
    <w:tbl>
      <w:tblPr>
        <w:tblStyle w:val="LightGrid-Accent1"/>
        <w:tblW w:w="0" w:type="auto"/>
        <w:tblLook w:val="04A0" w:firstRow="1" w:lastRow="0" w:firstColumn="1" w:lastColumn="0" w:noHBand="0" w:noVBand="1"/>
      </w:tblPr>
      <w:tblGrid>
        <w:gridCol w:w="1719"/>
        <w:gridCol w:w="2812"/>
        <w:gridCol w:w="4105"/>
        <w:gridCol w:w="2464"/>
        <w:gridCol w:w="2076"/>
      </w:tblGrid>
      <w:tr w:rsidR="00DA754F" w:rsidRPr="00C96E45" w14:paraId="32B44106" w14:textId="77777777" w:rsidTr="006134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9" w:type="dxa"/>
          </w:tcPr>
          <w:p w14:paraId="6442D9DF" w14:textId="77777777" w:rsidR="004E4E7C" w:rsidRPr="00C96E45" w:rsidRDefault="004E4E7C" w:rsidP="004E4E7C">
            <w:pPr>
              <w:jc w:val="center"/>
            </w:pPr>
            <w:r w:rsidRPr="00C96E45">
              <w:t>Theme</w:t>
            </w:r>
          </w:p>
        </w:tc>
        <w:tc>
          <w:tcPr>
            <w:tcW w:w="2812" w:type="dxa"/>
          </w:tcPr>
          <w:p w14:paraId="73AD2550" w14:textId="5CD0ECDB" w:rsidR="004E4E7C" w:rsidRPr="00C96E45" w:rsidRDefault="00182602" w:rsidP="003E0A23">
            <w:pPr>
              <w:jc w:val="center"/>
              <w:cnfStyle w:val="100000000000" w:firstRow="1" w:lastRow="0" w:firstColumn="0" w:lastColumn="0" w:oddVBand="0" w:evenVBand="0" w:oddHBand="0" w:evenHBand="0" w:firstRowFirstColumn="0" w:firstRowLastColumn="0" w:lastRowFirstColumn="0" w:lastRowLastColumn="0"/>
            </w:pPr>
            <w:r w:rsidRPr="00C96E45">
              <w:t>Ex</w:t>
            </w:r>
            <w:r w:rsidR="003E0A23" w:rsidRPr="00C96E45">
              <w:t>e</w:t>
            </w:r>
            <w:r w:rsidRPr="00C96E45">
              <w:t>mpla</w:t>
            </w:r>
            <w:r w:rsidR="003E0A23" w:rsidRPr="00C96E45">
              <w:t>r</w:t>
            </w:r>
            <w:r w:rsidRPr="00C96E45">
              <w:t xml:space="preserve"> </w:t>
            </w:r>
            <w:r w:rsidR="004E4E7C" w:rsidRPr="00C96E45">
              <w:t>Question/Decision Point</w:t>
            </w:r>
            <w:r w:rsidR="00A21987" w:rsidRPr="00C96E45">
              <w:t>(s)</w:t>
            </w:r>
          </w:p>
        </w:tc>
        <w:tc>
          <w:tcPr>
            <w:tcW w:w="4105" w:type="dxa"/>
          </w:tcPr>
          <w:p w14:paraId="547D5E14" w14:textId="77777777" w:rsidR="004E4E7C" w:rsidRPr="00C96E45" w:rsidRDefault="004E4E7C" w:rsidP="004E4E7C">
            <w:pPr>
              <w:jc w:val="center"/>
              <w:cnfStyle w:val="100000000000" w:firstRow="1" w:lastRow="0" w:firstColumn="0" w:lastColumn="0" w:oddVBand="0" w:evenVBand="0" w:oddHBand="0" w:evenHBand="0" w:firstRowFirstColumn="0" w:firstRowLastColumn="0" w:lastRowFirstColumn="0" w:lastRowLastColumn="0"/>
            </w:pPr>
            <w:r w:rsidRPr="00C96E45">
              <w:t>Example Option</w:t>
            </w:r>
          </w:p>
        </w:tc>
        <w:tc>
          <w:tcPr>
            <w:tcW w:w="2464" w:type="dxa"/>
          </w:tcPr>
          <w:p w14:paraId="688F1462" w14:textId="52666AB5" w:rsidR="004E4E7C" w:rsidRPr="00C96E45" w:rsidRDefault="00D40EC1" w:rsidP="004E4E7C">
            <w:pPr>
              <w:jc w:val="center"/>
              <w:cnfStyle w:val="100000000000" w:firstRow="1" w:lastRow="0" w:firstColumn="0" w:lastColumn="0" w:oddVBand="0" w:evenVBand="0" w:oddHBand="0" w:evenHBand="0" w:firstRowFirstColumn="0" w:firstRowLastColumn="0" w:lastRowFirstColumn="0" w:lastRowLastColumn="0"/>
            </w:pPr>
            <w:r>
              <w:t xml:space="preserve">Region </w:t>
            </w:r>
            <w:r w:rsidR="004E4E7C" w:rsidRPr="00C96E45">
              <w:t>Where Implemented</w:t>
            </w:r>
            <w:r w:rsidR="004C3B5F" w:rsidRPr="00C96E45">
              <w:t xml:space="preserve"> or Planned</w:t>
            </w:r>
            <w:r w:rsidR="004C3278">
              <w:rPr>
                <w:rStyle w:val="FootnoteReference"/>
              </w:rPr>
              <w:footnoteReference w:id="2"/>
            </w:r>
          </w:p>
        </w:tc>
        <w:tc>
          <w:tcPr>
            <w:tcW w:w="2076" w:type="dxa"/>
          </w:tcPr>
          <w:p w14:paraId="540DDBC0" w14:textId="77777777" w:rsidR="004E4E7C" w:rsidRPr="00C96E45" w:rsidRDefault="004E4E7C" w:rsidP="004E4E7C">
            <w:pPr>
              <w:jc w:val="center"/>
              <w:cnfStyle w:val="100000000000" w:firstRow="1" w:lastRow="0" w:firstColumn="0" w:lastColumn="0" w:oddVBand="0" w:evenVBand="0" w:oddHBand="0" w:evenHBand="0" w:firstRowFirstColumn="0" w:firstRowLastColumn="0" w:lastRowFirstColumn="0" w:lastRowLastColumn="0"/>
            </w:pPr>
            <w:r w:rsidRPr="00C96E45">
              <w:t>Digital Development Principle(s)</w:t>
            </w:r>
          </w:p>
        </w:tc>
      </w:tr>
      <w:tr w:rsidR="006134D0" w14:paraId="76C34347" w14:textId="77777777" w:rsidTr="006134D0">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482F48B7" w14:textId="77777777" w:rsidR="006134D0" w:rsidRDefault="006134D0" w:rsidP="004E4E7C">
            <w:r>
              <w:t>Value Proposition</w:t>
            </w:r>
          </w:p>
        </w:tc>
        <w:tc>
          <w:tcPr>
            <w:tcW w:w="2812" w:type="dxa"/>
            <w:vMerge w:val="restart"/>
          </w:tcPr>
          <w:p w14:paraId="59055D89" w14:textId="7722FA59"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What are the key goals and outcomes for HIE and interoperability? </w:t>
            </w:r>
          </w:p>
        </w:tc>
        <w:tc>
          <w:tcPr>
            <w:tcW w:w="4105" w:type="dxa"/>
          </w:tcPr>
          <w:p w14:paraId="3DE22E6E"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Universal health coverage</w:t>
            </w:r>
          </w:p>
          <w:p w14:paraId="291C0DC0"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44845C8"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3A9EAFD"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8A8C3E0"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464" w:type="dxa"/>
          </w:tcPr>
          <w:p w14:paraId="3D6F4BA8" w14:textId="11D378B6" w:rsidR="006134D0" w:rsidRDefault="006134D0" w:rsidP="00C2718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tc>
        <w:tc>
          <w:tcPr>
            <w:tcW w:w="2076" w:type="dxa"/>
            <w:vMerge w:val="restart"/>
          </w:tcPr>
          <w:p w14:paraId="71B6395B"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C3B5F">
              <w:rPr>
                <w:rFonts w:asciiTheme="majorHAnsi" w:hAnsiTheme="majorHAnsi"/>
              </w:rPr>
              <w:t>Design with the user; Design for scale; Reuse and improve</w:t>
            </w:r>
          </w:p>
        </w:tc>
      </w:tr>
      <w:tr w:rsidR="006134D0" w14:paraId="554F6262" w14:textId="77777777" w:rsidTr="006134D0">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19" w:type="dxa"/>
            <w:vMerge/>
          </w:tcPr>
          <w:p w14:paraId="3BF8F84C" w14:textId="77777777" w:rsidR="006134D0" w:rsidRDefault="006134D0" w:rsidP="004E4E7C"/>
        </w:tc>
        <w:tc>
          <w:tcPr>
            <w:tcW w:w="2812" w:type="dxa"/>
            <w:vMerge/>
          </w:tcPr>
          <w:p w14:paraId="595A5F0A" w14:textId="77777777" w:rsidR="006134D0"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105" w:type="dxa"/>
          </w:tcPr>
          <w:p w14:paraId="7AFCDDE4" w14:textId="77777777" w:rsidR="006134D0"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Improved HIV, TB, maternal and child health outcomes</w:t>
            </w:r>
          </w:p>
        </w:tc>
        <w:tc>
          <w:tcPr>
            <w:tcW w:w="2464" w:type="dxa"/>
          </w:tcPr>
          <w:p w14:paraId="51D97D2C" w14:textId="78CA86F3" w:rsidR="006134D0" w:rsidRDefault="00CF377F"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p w14:paraId="1FA3D8E1" w14:textId="77777777" w:rsidR="006134D0"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076" w:type="dxa"/>
            <w:vMerge/>
          </w:tcPr>
          <w:p w14:paraId="6BC3E5AF" w14:textId="77777777" w:rsidR="006134D0" w:rsidRPr="004C3B5F"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6134D0" w14:paraId="040B574A" w14:textId="77777777" w:rsidTr="001353F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719" w:type="dxa"/>
            <w:vMerge/>
          </w:tcPr>
          <w:p w14:paraId="617E3486" w14:textId="77777777" w:rsidR="006134D0" w:rsidRDefault="006134D0" w:rsidP="004E4E7C"/>
        </w:tc>
        <w:tc>
          <w:tcPr>
            <w:tcW w:w="2812" w:type="dxa"/>
            <w:vMerge/>
          </w:tcPr>
          <w:p w14:paraId="41B1DA3D" w14:textId="77777777"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Borders>
              <w:bottom w:val="single" w:sz="4" w:space="0" w:color="4F81BD" w:themeColor="accent1"/>
            </w:tcBorders>
          </w:tcPr>
          <w:p w14:paraId="5F0E1CAB" w14:textId="5A72880A"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Access to health information for patients who cross country borders (e.g., travel, refugees)</w:t>
            </w:r>
          </w:p>
        </w:tc>
        <w:tc>
          <w:tcPr>
            <w:tcW w:w="2464" w:type="dxa"/>
            <w:tcBorders>
              <w:bottom w:val="single" w:sz="4" w:space="0" w:color="4F81BD" w:themeColor="accent1"/>
            </w:tcBorders>
          </w:tcPr>
          <w:p w14:paraId="038351B6" w14:textId="0CA81842"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Europe</w:t>
            </w:r>
          </w:p>
          <w:p w14:paraId="3B6EA30A" w14:textId="2F182F4A" w:rsidR="006134D0"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6" w:type="dxa"/>
            <w:vMerge/>
          </w:tcPr>
          <w:p w14:paraId="1E718516" w14:textId="77777777" w:rsidR="006134D0" w:rsidRPr="004C3B5F" w:rsidRDefault="006134D0"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134D0" w14:paraId="1967F44F" w14:textId="77777777" w:rsidTr="001353FC">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19" w:type="dxa"/>
            <w:vMerge/>
          </w:tcPr>
          <w:p w14:paraId="54B8F91C" w14:textId="77777777" w:rsidR="006134D0" w:rsidRDefault="006134D0" w:rsidP="004E4E7C"/>
        </w:tc>
        <w:tc>
          <w:tcPr>
            <w:tcW w:w="2812" w:type="dxa"/>
            <w:vMerge/>
          </w:tcPr>
          <w:p w14:paraId="57398EA6" w14:textId="77777777" w:rsidR="006134D0"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105" w:type="dxa"/>
            <w:tcBorders>
              <w:top w:val="single" w:sz="4" w:space="0" w:color="4F81BD" w:themeColor="accent1"/>
            </w:tcBorders>
          </w:tcPr>
          <w:p w14:paraId="56224A39" w14:textId="07C98EA8" w:rsidR="006134D0"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Interoperability of many different systems</w:t>
            </w:r>
          </w:p>
        </w:tc>
        <w:tc>
          <w:tcPr>
            <w:tcW w:w="2464" w:type="dxa"/>
            <w:tcBorders>
              <w:top w:val="single" w:sz="4" w:space="0" w:color="4F81BD" w:themeColor="accent1"/>
            </w:tcBorders>
          </w:tcPr>
          <w:p w14:paraId="7C865754" w14:textId="27B758BF" w:rsidR="006134D0" w:rsidRDefault="002659B7"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2076" w:type="dxa"/>
            <w:vMerge/>
          </w:tcPr>
          <w:p w14:paraId="48D11D90" w14:textId="77777777" w:rsidR="006134D0" w:rsidRPr="004C3B5F" w:rsidRDefault="006134D0"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4D5D92" w14:paraId="3C3E97C5" w14:textId="77777777" w:rsidTr="006134D0">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4220717F" w14:textId="7759AC54" w:rsidR="004D5D92" w:rsidRDefault="004D5D92" w:rsidP="00EC2C68">
            <w:r>
              <w:t>Use Cases</w:t>
            </w:r>
          </w:p>
        </w:tc>
        <w:tc>
          <w:tcPr>
            <w:tcW w:w="2812" w:type="dxa"/>
            <w:vMerge w:val="restart"/>
          </w:tcPr>
          <w:p w14:paraId="604C1065" w14:textId="72835FB4" w:rsidR="009742FC" w:rsidRDefault="00215544" w:rsidP="0021554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For what use cases will data be exchanged</w:t>
            </w:r>
            <w:r w:rsidR="004D5D92">
              <w:rPr>
                <w:rFonts w:asciiTheme="majorHAnsi" w:hAnsiTheme="majorHAnsi"/>
              </w:rPr>
              <w:t>?</w:t>
            </w:r>
            <w:r w:rsidR="00EC2C68">
              <w:rPr>
                <w:rFonts w:asciiTheme="majorHAnsi" w:hAnsiTheme="majorHAnsi"/>
              </w:rPr>
              <w:t xml:space="preserve"> (e.g., clinical care, administrative needs, financial needs, monitoring and evaluation, public health/population health including disease and surveillance reporting, research)</w:t>
            </w:r>
          </w:p>
        </w:tc>
        <w:tc>
          <w:tcPr>
            <w:tcW w:w="4105" w:type="dxa"/>
          </w:tcPr>
          <w:p w14:paraId="611DD752" w14:textId="7240F73A" w:rsidR="009742FC" w:rsidRDefault="004D5D92" w:rsidP="00FE4DE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Government funded health clinics use data at the individual level for both clinical purposes (</w:t>
            </w:r>
            <w:r w:rsidR="00B10495">
              <w:rPr>
                <w:rFonts w:asciiTheme="majorHAnsi" w:hAnsiTheme="majorHAnsi"/>
              </w:rPr>
              <w:t xml:space="preserve">e.g., </w:t>
            </w:r>
            <w:r>
              <w:rPr>
                <w:rFonts w:asciiTheme="majorHAnsi" w:hAnsiTheme="majorHAnsi"/>
              </w:rPr>
              <w:t>immunizations, prenatal counsel</w:t>
            </w:r>
            <w:r w:rsidR="00E923DD">
              <w:rPr>
                <w:rFonts w:asciiTheme="majorHAnsi" w:hAnsiTheme="majorHAnsi"/>
              </w:rPr>
              <w:t>ing) and public health purposes</w:t>
            </w:r>
          </w:p>
        </w:tc>
        <w:tc>
          <w:tcPr>
            <w:tcW w:w="2464" w:type="dxa"/>
          </w:tcPr>
          <w:p w14:paraId="50DA3C74" w14:textId="3FD456C7" w:rsidR="004D5D92" w:rsidRDefault="002659B7"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Central America and Caribbean</w:t>
            </w:r>
          </w:p>
          <w:p w14:paraId="5F4E1BE9" w14:textId="77777777" w:rsidR="004D5D92" w:rsidRDefault="004D5D92"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2919774" w14:textId="77777777" w:rsidR="004D5D92" w:rsidRDefault="004D5D92"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66C26DE" w14:textId="77777777" w:rsidR="004D5D92" w:rsidRDefault="004D5D92"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6" w:type="dxa"/>
            <w:vMerge w:val="restart"/>
          </w:tcPr>
          <w:p w14:paraId="6E1BD170" w14:textId="77777777" w:rsidR="004D5D92" w:rsidRPr="004C3B5F" w:rsidRDefault="004D5D92" w:rsidP="00EE292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0E30">
              <w:rPr>
                <w:rFonts w:asciiTheme="majorHAnsi" w:hAnsiTheme="majorHAnsi"/>
              </w:rPr>
              <w:t>Design with the user; Design for scale; Be data driven</w:t>
            </w:r>
          </w:p>
        </w:tc>
      </w:tr>
      <w:tr w:rsidR="009742FC" w14:paraId="24CF9D03" w14:textId="77777777" w:rsidTr="006134D0">
        <w:trPr>
          <w:cnfStyle w:val="000000010000" w:firstRow="0" w:lastRow="0" w:firstColumn="0" w:lastColumn="0" w:oddVBand="0" w:evenVBand="0" w:oddHBand="0" w:evenHBand="1"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1719" w:type="dxa"/>
            <w:vMerge/>
          </w:tcPr>
          <w:p w14:paraId="00D61B66" w14:textId="77777777" w:rsidR="009742FC" w:rsidRDefault="009742FC" w:rsidP="00EC2C68"/>
        </w:tc>
        <w:tc>
          <w:tcPr>
            <w:tcW w:w="2812" w:type="dxa"/>
            <w:vMerge/>
          </w:tcPr>
          <w:p w14:paraId="30E5CE9B" w14:textId="77777777" w:rsidR="009742FC" w:rsidRDefault="009742FC" w:rsidP="00215544">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105" w:type="dxa"/>
          </w:tcPr>
          <w:p w14:paraId="7B33CCC6" w14:textId="275D8C64" w:rsidR="009742FC" w:rsidRDefault="009742FC" w:rsidP="00FE4DE9">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Claims processing</w:t>
            </w:r>
          </w:p>
        </w:tc>
        <w:tc>
          <w:tcPr>
            <w:tcW w:w="2464" w:type="dxa"/>
          </w:tcPr>
          <w:p w14:paraId="0D43C3AD" w14:textId="5011DD65" w:rsidR="009742FC" w:rsidRDefault="0034019B"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tc>
        <w:tc>
          <w:tcPr>
            <w:tcW w:w="2076" w:type="dxa"/>
            <w:vMerge/>
          </w:tcPr>
          <w:p w14:paraId="7BB689C1" w14:textId="77777777" w:rsidR="009742FC" w:rsidRPr="00380E30" w:rsidRDefault="009742FC" w:rsidP="00EE292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9742FC" w14:paraId="5513076F" w14:textId="77777777" w:rsidTr="006134D0">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719" w:type="dxa"/>
          </w:tcPr>
          <w:p w14:paraId="6D44C72F" w14:textId="665CA4B1" w:rsidR="009742FC" w:rsidRDefault="009742FC" w:rsidP="00EC2C68">
            <w:r>
              <w:t>Use Cases</w:t>
            </w:r>
          </w:p>
        </w:tc>
        <w:tc>
          <w:tcPr>
            <w:tcW w:w="2812" w:type="dxa"/>
          </w:tcPr>
          <w:p w14:paraId="029A547B" w14:textId="7ECD631C"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Will the data exchanged be at the individual patient level or an aggregate level?</w:t>
            </w:r>
          </w:p>
        </w:tc>
        <w:tc>
          <w:tcPr>
            <w:tcW w:w="4105" w:type="dxa"/>
          </w:tcPr>
          <w:p w14:paraId="75A7B6A4" w14:textId="1483F43C" w:rsidR="009742FC" w:rsidRDefault="009742FC" w:rsidP="00FE4DE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Aggregated HIV, TB, maternal and child health data for program M&amp;E</w:t>
            </w:r>
          </w:p>
        </w:tc>
        <w:tc>
          <w:tcPr>
            <w:tcW w:w="2464" w:type="dxa"/>
          </w:tcPr>
          <w:p w14:paraId="253D6DED" w14:textId="58674202" w:rsidR="009742FC" w:rsidRDefault="0034019B" w:rsidP="00DC6E0A">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p w14:paraId="3E16A81E"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6" w:type="dxa"/>
          </w:tcPr>
          <w:p w14:paraId="063C5EF1" w14:textId="2A4C5BD6" w:rsidR="009742FC" w:rsidRPr="00380E30" w:rsidRDefault="009742FC" w:rsidP="00EE292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0E30">
              <w:rPr>
                <w:rFonts w:asciiTheme="majorHAnsi" w:hAnsiTheme="majorHAnsi"/>
              </w:rPr>
              <w:t>Design with the user; Design for scale; Be data driven</w:t>
            </w:r>
          </w:p>
        </w:tc>
      </w:tr>
      <w:tr w:rsidR="009742FC" w14:paraId="24911C86" w14:textId="77777777" w:rsidTr="006134D0">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272071A4" w14:textId="77777777" w:rsidR="009742FC" w:rsidRDefault="009742FC" w:rsidP="004E4E7C">
            <w:r>
              <w:t>Vision</w:t>
            </w:r>
          </w:p>
        </w:tc>
        <w:tc>
          <w:tcPr>
            <w:tcW w:w="2812" w:type="dxa"/>
            <w:vMerge w:val="restart"/>
          </w:tcPr>
          <w:p w14:paraId="22B462D1"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Will data be exchanged within country, with other countries, or both?</w:t>
            </w:r>
          </w:p>
        </w:tc>
        <w:tc>
          <w:tcPr>
            <w:tcW w:w="4105" w:type="dxa"/>
          </w:tcPr>
          <w:p w14:paraId="7D3FB547"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Both intra-country and inter-country exchange</w:t>
            </w:r>
          </w:p>
          <w:p w14:paraId="101A5E54"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EA187F8"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464" w:type="dxa"/>
          </w:tcPr>
          <w:p w14:paraId="75EA0B8F" w14:textId="46CA1BCB" w:rsidR="009742FC" w:rsidRDefault="00950AD1" w:rsidP="00950AD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r w:rsidR="009742FC">
              <w:rPr>
                <w:rFonts w:asciiTheme="majorHAnsi" w:hAnsiTheme="majorHAnsi"/>
              </w:rPr>
              <w:t>, Europe</w:t>
            </w:r>
          </w:p>
        </w:tc>
        <w:tc>
          <w:tcPr>
            <w:tcW w:w="2076" w:type="dxa"/>
            <w:vMerge w:val="restart"/>
          </w:tcPr>
          <w:p w14:paraId="2ECA5E51" w14:textId="77777777" w:rsidR="009742FC" w:rsidRDefault="009742FC" w:rsidP="00EE292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C3B5F">
              <w:rPr>
                <w:rFonts w:asciiTheme="majorHAnsi" w:hAnsiTheme="majorHAnsi"/>
              </w:rPr>
              <w:t xml:space="preserve">Design with the user; Design for scale </w:t>
            </w:r>
          </w:p>
        </w:tc>
      </w:tr>
      <w:tr w:rsidR="009742FC" w14:paraId="6AFB7C43" w14:textId="77777777" w:rsidTr="006134D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719" w:type="dxa"/>
            <w:vMerge/>
          </w:tcPr>
          <w:p w14:paraId="6E000503" w14:textId="77777777" w:rsidR="009742FC" w:rsidRDefault="009742FC" w:rsidP="004E4E7C"/>
        </w:tc>
        <w:tc>
          <w:tcPr>
            <w:tcW w:w="2812" w:type="dxa"/>
            <w:vMerge/>
          </w:tcPr>
          <w:p w14:paraId="11CD371C"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Pr>
          <w:p w14:paraId="08C7D9C2" w14:textId="5BBF1EBB"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Intra-country exchange, including at the regional and local level</w:t>
            </w:r>
          </w:p>
        </w:tc>
        <w:tc>
          <w:tcPr>
            <w:tcW w:w="2464" w:type="dxa"/>
          </w:tcPr>
          <w:p w14:paraId="75F99DDF"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Currently the focus in many LMIC</w:t>
            </w:r>
          </w:p>
        </w:tc>
        <w:tc>
          <w:tcPr>
            <w:tcW w:w="2076" w:type="dxa"/>
            <w:vMerge/>
          </w:tcPr>
          <w:p w14:paraId="042A6F46" w14:textId="77777777" w:rsidR="009742FC" w:rsidRPr="004C3B5F" w:rsidRDefault="009742FC" w:rsidP="00EE292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742FC" w14:paraId="074F063E" w14:textId="77777777" w:rsidTr="006134D0">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4CDAFA25" w14:textId="77777777" w:rsidR="009742FC" w:rsidRDefault="009742FC" w:rsidP="004E4E7C">
            <w:r>
              <w:t>Current State Analysis</w:t>
            </w:r>
          </w:p>
        </w:tc>
        <w:tc>
          <w:tcPr>
            <w:tcW w:w="2812" w:type="dxa"/>
            <w:vMerge w:val="restart"/>
          </w:tcPr>
          <w:p w14:paraId="07BB3530"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Where are data collected and stored in the current state?</w:t>
            </w:r>
          </w:p>
          <w:p w14:paraId="33F41A73"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Which groups are the current main stakeholders?</w:t>
            </w:r>
          </w:p>
          <w:p w14:paraId="6830994C"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Are there additional groups that should be engaged?</w:t>
            </w:r>
          </w:p>
          <w:p w14:paraId="36A78778" w14:textId="2B75E149"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Who owns or stewards the data?</w:t>
            </w:r>
          </w:p>
        </w:tc>
        <w:tc>
          <w:tcPr>
            <w:tcW w:w="4105" w:type="dxa"/>
          </w:tcPr>
          <w:p w14:paraId="5404CA54"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Data collected through community health workers; at clinics, hospitals, and facilities.</w:t>
            </w:r>
          </w:p>
        </w:tc>
        <w:tc>
          <w:tcPr>
            <w:tcW w:w="2464" w:type="dxa"/>
          </w:tcPr>
          <w:p w14:paraId="56D2DA25"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Most LMIC</w:t>
            </w:r>
          </w:p>
          <w:p w14:paraId="7207B147"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2C28E9F4"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076" w:type="dxa"/>
            <w:vMerge w:val="restart"/>
          </w:tcPr>
          <w:p w14:paraId="38A4048A"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C3B5F">
              <w:rPr>
                <w:rFonts w:asciiTheme="majorHAnsi" w:hAnsiTheme="majorHAnsi"/>
              </w:rPr>
              <w:t>Understand the ecosystem; Be collaborative</w:t>
            </w:r>
          </w:p>
        </w:tc>
      </w:tr>
      <w:tr w:rsidR="009742FC" w14:paraId="0B8822B4" w14:textId="77777777" w:rsidTr="006134D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719" w:type="dxa"/>
            <w:vMerge/>
          </w:tcPr>
          <w:p w14:paraId="7DAF1F68" w14:textId="77777777" w:rsidR="009742FC" w:rsidRDefault="009742FC" w:rsidP="004E4E7C"/>
        </w:tc>
        <w:tc>
          <w:tcPr>
            <w:tcW w:w="2812" w:type="dxa"/>
            <w:vMerge/>
          </w:tcPr>
          <w:p w14:paraId="4254E366"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Pr>
          <w:p w14:paraId="4DA49B64" w14:textId="77777777" w:rsidR="009742FC" w:rsidRDefault="009742FC" w:rsidP="00D33CE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Individual patient level data must be stored (and cannot leave) the facility where it was collected. Only aggregate data are reported. </w:t>
            </w:r>
          </w:p>
        </w:tc>
        <w:tc>
          <w:tcPr>
            <w:tcW w:w="2464" w:type="dxa"/>
          </w:tcPr>
          <w:p w14:paraId="3EEA3547" w14:textId="52991DBA" w:rsidR="009742FC" w:rsidRDefault="0067008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p w14:paraId="3A0AB87D"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8546921"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951E908"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6" w:type="dxa"/>
            <w:vMerge/>
          </w:tcPr>
          <w:p w14:paraId="0665D424" w14:textId="77777777" w:rsidR="009742FC" w:rsidRPr="004C3B5F"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742FC" w14:paraId="35D2080D" w14:textId="77777777" w:rsidTr="006134D0">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19" w:type="dxa"/>
            <w:vMerge/>
          </w:tcPr>
          <w:p w14:paraId="00A7FAA8" w14:textId="77777777" w:rsidR="009742FC" w:rsidRDefault="009742FC" w:rsidP="004E4E7C"/>
        </w:tc>
        <w:tc>
          <w:tcPr>
            <w:tcW w:w="2812" w:type="dxa"/>
            <w:vMerge/>
          </w:tcPr>
          <w:p w14:paraId="4747B966"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105" w:type="dxa"/>
          </w:tcPr>
          <w:p w14:paraId="25A06B01" w14:textId="3CD3D389" w:rsidR="009742FC" w:rsidRDefault="009742FC" w:rsidP="00D33CE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Data servers</w:t>
            </w:r>
            <w:r w:rsidR="00CB1E8D">
              <w:rPr>
                <w:rFonts w:asciiTheme="majorHAnsi" w:hAnsiTheme="majorHAnsi"/>
              </w:rPr>
              <w:t xml:space="preserve"> are</w:t>
            </w:r>
            <w:r>
              <w:rPr>
                <w:rFonts w:asciiTheme="majorHAnsi" w:hAnsiTheme="majorHAnsi"/>
              </w:rPr>
              <w:t xml:space="preserve"> located in the donor country.</w:t>
            </w:r>
          </w:p>
        </w:tc>
        <w:tc>
          <w:tcPr>
            <w:tcW w:w="2464" w:type="dxa"/>
          </w:tcPr>
          <w:p w14:paraId="1635C85A" w14:textId="57164063" w:rsidR="009742FC" w:rsidRDefault="0067008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2076" w:type="dxa"/>
            <w:vMerge/>
          </w:tcPr>
          <w:p w14:paraId="2853E702" w14:textId="77777777" w:rsidR="009742FC" w:rsidRPr="004C3B5F"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9742FC" w14:paraId="5C509411" w14:textId="77777777" w:rsidTr="00613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558BA9C5" w14:textId="77777777" w:rsidR="009742FC" w:rsidRDefault="009742FC" w:rsidP="004E4E7C">
            <w:r>
              <w:t>Consumers</w:t>
            </w:r>
          </w:p>
        </w:tc>
        <w:tc>
          <w:tcPr>
            <w:tcW w:w="2812" w:type="dxa"/>
          </w:tcPr>
          <w:p w14:paraId="69FCDC9B"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What groups of patients and consumers will be affected by HIE?</w:t>
            </w:r>
          </w:p>
          <w:p w14:paraId="24A811AF"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Are there special issues affecting certain groups of the population that should be considered?</w:t>
            </w:r>
          </w:p>
        </w:tc>
        <w:tc>
          <w:tcPr>
            <w:tcW w:w="4105" w:type="dxa"/>
          </w:tcPr>
          <w:p w14:paraId="5EBB2536" w14:textId="0BB0EB50" w:rsidR="009742FC" w:rsidRDefault="009742FC" w:rsidP="00D0150A">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Community-event based surveillance was piloted during the peak of the Ebola outbreak because more traditional methods located contacts too late.</w:t>
            </w:r>
            <w:r w:rsidR="00DA3C22">
              <w:rPr>
                <w:rFonts w:asciiTheme="majorHAnsi" w:hAnsiTheme="majorHAnsi"/>
              </w:rPr>
              <w:t>[</w:t>
            </w:r>
            <w:r w:rsidR="008677CF">
              <w:rPr>
                <w:rFonts w:asciiTheme="majorHAnsi" w:hAnsiTheme="majorHAnsi"/>
              </w:rPr>
              <w:t>8</w:t>
            </w:r>
            <w:r w:rsidR="00DA3C22">
              <w:rPr>
                <w:rFonts w:asciiTheme="majorHAnsi" w:hAnsiTheme="majorHAnsi"/>
              </w:rPr>
              <w:t>]</w:t>
            </w:r>
            <w:r>
              <w:rPr>
                <w:rFonts w:asciiTheme="majorHAnsi" w:hAnsiTheme="majorHAnsi"/>
              </w:rPr>
              <w:t xml:space="preserve"> This factored in community-based methods of engagement because of the culture in </w:t>
            </w:r>
            <w:r w:rsidR="00D0150A">
              <w:rPr>
                <w:rFonts w:asciiTheme="majorHAnsi" w:hAnsiTheme="majorHAnsi"/>
              </w:rPr>
              <w:t>Ebola-affected countries</w:t>
            </w:r>
            <w:r>
              <w:rPr>
                <w:rFonts w:asciiTheme="majorHAnsi" w:hAnsiTheme="majorHAnsi"/>
              </w:rPr>
              <w:t>.</w:t>
            </w:r>
          </w:p>
        </w:tc>
        <w:tc>
          <w:tcPr>
            <w:tcW w:w="2464" w:type="dxa"/>
          </w:tcPr>
          <w:p w14:paraId="4C8F8320" w14:textId="1D400B45" w:rsidR="009742FC" w:rsidRDefault="00B82BF5"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tc>
        <w:tc>
          <w:tcPr>
            <w:tcW w:w="2076" w:type="dxa"/>
          </w:tcPr>
          <w:p w14:paraId="38A63BCA"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21987">
              <w:rPr>
                <w:rFonts w:asciiTheme="majorHAnsi" w:hAnsiTheme="majorHAnsi"/>
              </w:rPr>
              <w:t>Design with the user; Design for scale</w:t>
            </w:r>
          </w:p>
        </w:tc>
      </w:tr>
      <w:tr w:rsidR="009742FC" w14:paraId="3D1FA2C8" w14:textId="77777777" w:rsidTr="006134D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1A4D284B" w14:textId="77777777" w:rsidR="009742FC" w:rsidRDefault="009742FC" w:rsidP="004E4E7C">
            <w:r>
              <w:t>Sponsor</w:t>
            </w:r>
          </w:p>
        </w:tc>
        <w:tc>
          <w:tcPr>
            <w:tcW w:w="2812" w:type="dxa"/>
            <w:vMerge w:val="restart"/>
          </w:tcPr>
          <w:p w14:paraId="1D0F901A"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Is there strong support or a champion/ influencer at the national or regional level?</w:t>
            </w:r>
          </w:p>
        </w:tc>
        <w:tc>
          <w:tcPr>
            <w:tcW w:w="4105" w:type="dxa"/>
          </w:tcPr>
          <w:p w14:paraId="7917FA87"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Strong champion with influence and connections at the national level, strong government buy-in</w:t>
            </w:r>
          </w:p>
        </w:tc>
        <w:tc>
          <w:tcPr>
            <w:tcW w:w="2464" w:type="dxa"/>
          </w:tcPr>
          <w:p w14:paraId="27F2F904" w14:textId="3CFD1A2D" w:rsidR="009742FC" w:rsidRDefault="00B82BF5"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p w14:paraId="2F47DE8E"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7331A7BA"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076" w:type="dxa"/>
            <w:vMerge w:val="restart"/>
          </w:tcPr>
          <w:p w14:paraId="52FC88F9"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11836">
              <w:rPr>
                <w:rFonts w:asciiTheme="majorHAnsi" w:hAnsiTheme="majorHAnsi"/>
              </w:rPr>
              <w:t>Understand the ecosystem; Build for sustainability</w:t>
            </w:r>
          </w:p>
        </w:tc>
      </w:tr>
      <w:tr w:rsidR="009742FC" w14:paraId="52BFBEDE" w14:textId="77777777" w:rsidTr="006134D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719" w:type="dxa"/>
            <w:vMerge/>
          </w:tcPr>
          <w:p w14:paraId="01B4A2D5" w14:textId="77777777" w:rsidR="009742FC" w:rsidRDefault="009742FC" w:rsidP="004E4E7C"/>
        </w:tc>
        <w:tc>
          <w:tcPr>
            <w:tcW w:w="2812" w:type="dxa"/>
            <w:vMerge/>
          </w:tcPr>
          <w:p w14:paraId="09D7867F"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Pr>
          <w:p w14:paraId="2C4F63B2" w14:textId="77777777" w:rsidR="009742FC" w:rsidRDefault="009742FC" w:rsidP="009700F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Public sector data hub project has not been implemented, possibly due to political and economic disincentives</w:t>
            </w:r>
          </w:p>
        </w:tc>
        <w:tc>
          <w:tcPr>
            <w:tcW w:w="2464" w:type="dxa"/>
          </w:tcPr>
          <w:p w14:paraId="7CB07EEA" w14:textId="54E20E75" w:rsidR="009742FC" w:rsidRDefault="00B82BF5"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South America</w:t>
            </w:r>
          </w:p>
        </w:tc>
        <w:tc>
          <w:tcPr>
            <w:tcW w:w="2076" w:type="dxa"/>
            <w:vMerge/>
          </w:tcPr>
          <w:p w14:paraId="1A01D11B" w14:textId="77777777" w:rsidR="009742FC" w:rsidRPr="00411836"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742FC" w14:paraId="0189AE70" w14:textId="77777777" w:rsidTr="006134D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210A1E1F" w14:textId="77777777" w:rsidR="009742FC" w:rsidRDefault="009742FC" w:rsidP="004E4E7C">
            <w:r>
              <w:t>Patient-generated Data/Data Provenance</w:t>
            </w:r>
          </w:p>
        </w:tc>
        <w:tc>
          <w:tcPr>
            <w:tcW w:w="2812" w:type="dxa"/>
            <w:vMerge w:val="restart"/>
          </w:tcPr>
          <w:p w14:paraId="1C324C14"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Will patient-provided data become part of the health record?</w:t>
            </w:r>
          </w:p>
          <w:p w14:paraId="509D5350"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Have issues of data provenance been considered?</w:t>
            </w:r>
          </w:p>
        </w:tc>
        <w:tc>
          <w:tcPr>
            <w:tcW w:w="4105" w:type="dxa"/>
          </w:tcPr>
          <w:p w14:paraId="3E91F8CF" w14:textId="598424D4" w:rsidR="009742FC" w:rsidRDefault="009742FC" w:rsidP="007B19E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601252">
              <w:rPr>
                <w:rFonts w:asciiTheme="majorHAnsi" w:hAnsiTheme="majorHAnsi"/>
                <w:b/>
              </w:rPr>
              <w:t>G</w:t>
            </w:r>
            <w:r>
              <w:rPr>
                <w:rFonts w:asciiTheme="majorHAnsi" w:hAnsiTheme="majorHAnsi"/>
                <w:b/>
              </w:rPr>
              <w:t>ap</w:t>
            </w:r>
            <w:r>
              <w:rPr>
                <w:rFonts w:asciiTheme="majorHAnsi" w:hAnsiTheme="majorHAnsi"/>
              </w:rPr>
              <w:t xml:space="preserve"> – Policies are unknown. Most LMIC </w:t>
            </w:r>
            <w:r w:rsidR="00E42AF1">
              <w:rPr>
                <w:rFonts w:asciiTheme="majorHAnsi" w:hAnsiTheme="majorHAnsi"/>
              </w:rPr>
              <w:t xml:space="preserve">in the review </w:t>
            </w:r>
            <w:r>
              <w:rPr>
                <w:rFonts w:asciiTheme="majorHAnsi" w:hAnsiTheme="majorHAnsi"/>
              </w:rPr>
              <w:t>do not</w:t>
            </w:r>
            <w:r w:rsidR="00AF62CF">
              <w:rPr>
                <w:rFonts w:asciiTheme="majorHAnsi" w:hAnsiTheme="majorHAnsi"/>
              </w:rPr>
              <w:t xml:space="preserve"> appear to</w:t>
            </w:r>
            <w:r>
              <w:rPr>
                <w:rFonts w:asciiTheme="majorHAnsi" w:hAnsiTheme="majorHAnsi"/>
              </w:rPr>
              <w:t xml:space="preserve"> provide patient access to electronic health data today.</w:t>
            </w:r>
          </w:p>
        </w:tc>
        <w:tc>
          <w:tcPr>
            <w:tcW w:w="2464" w:type="dxa"/>
          </w:tcPr>
          <w:p w14:paraId="0102E163"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NA</w:t>
            </w:r>
          </w:p>
          <w:p w14:paraId="668D51AE"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6835B53"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076" w:type="dxa"/>
            <w:vMerge w:val="restart"/>
          </w:tcPr>
          <w:p w14:paraId="08535FAA"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649EF">
              <w:rPr>
                <w:rFonts w:asciiTheme="majorHAnsi" w:hAnsiTheme="majorHAnsi"/>
              </w:rPr>
              <w:t>Design with the user; Understand the ecosystem</w:t>
            </w:r>
          </w:p>
        </w:tc>
      </w:tr>
      <w:tr w:rsidR="009742FC" w14:paraId="40F2118F" w14:textId="77777777" w:rsidTr="006134D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719" w:type="dxa"/>
            <w:vMerge/>
          </w:tcPr>
          <w:p w14:paraId="19F5C293" w14:textId="77777777" w:rsidR="009742FC" w:rsidRDefault="009742FC" w:rsidP="004E4E7C"/>
        </w:tc>
        <w:tc>
          <w:tcPr>
            <w:tcW w:w="2812" w:type="dxa"/>
            <w:vMerge/>
          </w:tcPr>
          <w:p w14:paraId="04364A9D"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Pr>
          <w:p w14:paraId="31D91369" w14:textId="77777777" w:rsidR="009742FC" w:rsidRPr="00C91782" w:rsidRDefault="009742FC" w:rsidP="00D35CA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Concerns with the data provenance of data collected using mobile health technologies. For example, data collected by community health workers with education level equivalent to a high school degree should not be mistaken for a clinical diagnosis by a physician. </w:t>
            </w:r>
          </w:p>
        </w:tc>
        <w:tc>
          <w:tcPr>
            <w:tcW w:w="2464" w:type="dxa"/>
          </w:tcPr>
          <w:p w14:paraId="6FCA5EF9" w14:textId="74519054" w:rsidR="009742FC" w:rsidRDefault="009742FC" w:rsidP="002605F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r w:rsidR="00C846FD">
              <w:rPr>
                <w:rFonts w:asciiTheme="majorHAnsi" w:hAnsiTheme="majorHAnsi"/>
              </w:rPr>
              <w:t xml:space="preserve"> </w:t>
            </w:r>
          </w:p>
        </w:tc>
        <w:tc>
          <w:tcPr>
            <w:tcW w:w="2076" w:type="dxa"/>
            <w:vMerge/>
          </w:tcPr>
          <w:p w14:paraId="41AA6504" w14:textId="77777777" w:rsidR="009742FC" w:rsidRPr="005649EF"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742FC" w14:paraId="0A38909C" w14:textId="77777777" w:rsidTr="006134D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19" w:type="dxa"/>
            <w:vMerge w:val="restart"/>
          </w:tcPr>
          <w:p w14:paraId="21988340" w14:textId="77777777" w:rsidR="009742FC" w:rsidRDefault="009742FC" w:rsidP="004E4E7C">
            <w:r>
              <w:t>Risk Identification</w:t>
            </w:r>
          </w:p>
        </w:tc>
        <w:tc>
          <w:tcPr>
            <w:tcW w:w="2812" w:type="dxa"/>
            <w:vMerge w:val="restart"/>
          </w:tcPr>
          <w:p w14:paraId="72F00218"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What are likely areas of challenges or where additional expertise may be needed?</w:t>
            </w:r>
          </w:p>
        </w:tc>
        <w:tc>
          <w:tcPr>
            <w:tcW w:w="4105" w:type="dxa"/>
          </w:tcPr>
          <w:p w14:paraId="7C8D365F"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Non unique patient identifier</w:t>
            </w:r>
          </w:p>
        </w:tc>
        <w:tc>
          <w:tcPr>
            <w:tcW w:w="2464" w:type="dxa"/>
          </w:tcPr>
          <w:p w14:paraId="506BCAD4" w14:textId="781ACA18" w:rsidR="009742FC" w:rsidRDefault="00A609BB"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Central America and Caribbean, Africa</w:t>
            </w:r>
          </w:p>
        </w:tc>
        <w:tc>
          <w:tcPr>
            <w:tcW w:w="2076" w:type="dxa"/>
            <w:vMerge w:val="restart"/>
          </w:tcPr>
          <w:p w14:paraId="52510BA5" w14:textId="7F5D2710" w:rsidR="009742FC" w:rsidRPr="005649EF"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380E30">
              <w:rPr>
                <w:rFonts w:asciiTheme="majorHAnsi" w:hAnsiTheme="majorHAnsi"/>
              </w:rPr>
              <w:t xml:space="preserve">Address privacy and security; Understand the </w:t>
            </w:r>
            <w:r>
              <w:rPr>
                <w:rFonts w:asciiTheme="majorHAnsi" w:hAnsiTheme="majorHAnsi"/>
              </w:rPr>
              <w:t xml:space="preserve">existing </w:t>
            </w:r>
            <w:r w:rsidRPr="00380E30">
              <w:rPr>
                <w:rFonts w:asciiTheme="majorHAnsi" w:hAnsiTheme="majorHAnsi"/>
              </w:rPr>
              <w:t>ecosystem</w:t>
            </w:r>
            <w:r>
              <w:rPr>
                <w:rFonts w:asciiTheme="majorHAnsi" w:hAnsiTheme="majorHAnsi"/>
              </w:rPr>
              <w:t>; Design for scale; Be collaborative; Build for sustainability; Design with the user; Reuse and improve</w:t>
            </w:r>
          </w:p>
        </w:tc>
      </w:tr>
      <w:tr w:rsidR="009742FC" w14:paraId="111C38EA" w14:textId="77777777" w:rsidTr="006134D0">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719" w:type="dxa"/>
            <w:vMerge/>
          </w:tcPr>
          <w:p w14:paraId="37107814" w14:textId="77777777" w:rsidR="009742FC" w:rsidRDefault="009742FC" w:rsidP="004E4E7C"/>
        </w:tc>
        <w:tc>
          <w:tcPr>
            <w:tcW w:w="2812" w:type="dxa"/>
            <w:vMerge/>
          </w:tcPr>
          <w:p w14:paraId="0DDB7514"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Pr>
          <w:p w14:paraId="372743A1"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 lever for regulatory enforcement of standards and guidelines</w:t>
            </w:r>
          </w:p>
        </w:tc>
        <w:tc>
          <w:tcPr>
            <w:tcW w:w="2464" w:type="dxa"/>
          </w:tcPr>
          <w:p w14:paraId="785A3646" w14:textId="36C7E3FE" w:rsidR="009742FC" w:rsidRDefault="003F4F3A"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p w14:paraId="37E123E0"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6" w:type="dxa"/>
            <w:vMerge/>
          </w:tcPr>
          <w:p w14:paraId="532A195F" w14:textId="77777777" w:rsidR="009742FC" w:rsidRPr="00380E30"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742FC" w14:paraId="3CAE1C4C" w14:textId="77777777" w:rsidTr="006134D0">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719" w:type="dxa"/>
            <w:vMerge/>
          </w:tcPr>
          <w:p w14:paraId="02C035F7" w14:textId="77777777" w:rsidR="009742FC" w:rsidRDefault="009742FC" w:rsidP="004E4E7C"/>
        </w:tc>
        <w:tc>
          <w:tcPr>
            <w:tcW w:w="2812" w:type="dxa"/>
            <w:vMerge/>
          </w:tcPr>
          <w:p w14:paraId="22E2E6C0"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105" w:type="dxa"/>
          </w:tcPr>
          <w:p w14:paraId="75BB190F"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Diffusion of many vertical initiatives without a common architecture</w:t>
            </w:r>
          </w:p>
        </w:tc>
        <w:tc>
          <w:tcPr>
            <w:tcW w:w="2464" w:type="dxa"/>
          </w:tcPr>
          <w:p w14:paraId="25BD45F8" w14:textId="2D82690E"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2076" w:type="dxa"/>
            <w:vMerge/>
          </w:tcPr>
          <w:p w14:paraId="6931F5C3" w14:textId="77777777" w:rsidR="009742FC" w:rsidRPr="00380E30"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9742FC" w14:paraId="53592F9A" w14:textId="77777777" w:rsidTr="006134D0">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719" w:type="dxa"/>
            <w:vMerge/>
          </w:tcPr>
          <w:p w14:paraId="7E805D02" w14:textId="77777777" w:rsidR="009742FC" w:rsidRDefault="009742FC" w:rsidP="004E4E7C"/>
        </w:tc>
        <w:tc>
          <w:tcPr>
            <w:tcW w:w="2812" w:type="dxa"/>
            <w:vMerge/>
          </w:tcPr>
          <w:p w14:paraId="1D7D07EB"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105" w:type="dxa"/>
          </w:tcPr>
          <w:p w14:paraId="60A59551"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Challenges engaging the private sector because of interpretation of law for personal data protection</w:t>
            </w:r>
          </w:p>
        </w:tc>
        <w:tc>
          <w:tcPr>
            <w:tcW w:w="2464" w:type="dxa"/>
          </w:tcPr>
          <w:p w14:paraId="4B5E2130" w14:textId="7F05197F" w:rsidR="009742FC" w:rsidRDefault="003F4F3A"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p w14:paraId="752C0354"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488A600" w14:textId="77777777" w:rsidR="009742FC"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6" w:type="dxa"/>
            <w:vMerge/>
          </w:tcPr>
          <w:p w14:paraId="79552AD5" w14:textId="77777777" w:rsidR="009742FC" w:rsidRPr="00380E30" w:rsidRDefault="009742FC" w:rsidP="004E4E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742FC" w14:paraId="3AF755C8" w14:textId="77777777" w:rsidTr="006134D0">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719" w:type="dxa"/>
            <w:vMerge/>
          </w:tcPr>
          <w:p w14:paraId="1F841B76" w14:textId="77777777" w:rsidR="009742FC" w:rsidRDefault="009742FC" w:rsidP="004E4E7C"/>
        </w:tc>
        <w:tc>
          <w:tcPr>
            <w:tcW w:w="2812" w:type="dxa"/>
            <w:vMerge/>
          </w:tcPr>
          <w:p w14:paraId="2A1E42A7"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105" w:type="dxa"/>
          </w:tcPr>
          <w:p w14:paraId="65EFD0C4" w14:textId="77777777" w:rsidR="009742FC"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Lack of health care provider awareness of policies and regulations and applicability to the health sector</w:t>
            </w:r>
          </w:p>
        </w:tc>
        <w:tc>
          <w:tcPr>
            <w:tcW w:w="2464" w:type="dxa"/>
          </w:tcPr>
          <w:p w14:paraId="3C28CFB6" w14:textId="01B00E0F" w:rsidR="009742FC" w:rsidRDefault="003F4F3A"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2076" w:type="dxa"/>
            <w:vMerge/>
          </w:tcPr>
          <w:p w14:paraId="04B55129" w14:textId="77777777" w:rsidR="009742FC" w:rsidRPr="00380E30" w:rsidRDefault="009742FC" w:rsidP="004E4E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3DA2A2DD" w14:textId="1D8773DE" w:rsidR="004E4E7C" w:rsidRDefault="004E4E7C" w:rsidP="004E4E7C">
      <w:pPr>
        <w:rPr>
          <w:rFonts w:asciiTheme="majorHAnsi" w:hAnsiTheme="majorHAnsi"/>
        </w:rPr>
      </w:pPr>
    </w:p>
    <w:p w14:paraId="234EBD85" w14:textId="77777777" w:rsidR="009522FA" w:rsidRDefault="009522FA" w:rsidP="004E4E7C">
      <w:pPr>
        <w:rPr>
          <w:rFonts w:asciiTheme="majorHAnsi" w:hAnsiTheme="majorHAnsi"/>
          <w:b/>
        </w:rPr>
      </w:pPr>
      <w:r>
        <w:rPr>
          <w:rFonts w:asciiTheme="majorHAnsi" w:hAnsiTheme="majorHAnsi"/>
          <w:b/>
        </w:rPr>
        <w:t>Lessons Learned:</w:t>
      </w:r>
    </w:p>
    <w:p w14:paraId="1EC96ADD" w14:textId="77777777" w:rsidR="009522FA" w:rsidRPr="00211EA8" w:rsidRDefault="00B76848" w:rsidP="009522FA">
      <w:pPr>
        <w:pStyle w:val="ListParagraph"/>
        <w:numPr>
          <w:ilvl w:val="0"/>
          <w:numId w:val="3"/>
        </w:numPr>
        <w:rPr>
          <w:rFonts w:asciiTheme="majorHAnsi" w:hAnsiTheme="majorHAnsi"/>
          <w:b/>
        </w:rPr>
      </w:pPr>
      <w:r>
        <w:rPr>
          <w:rFonts w:asciiTheme="majorHAnsi" w:hAnsiTheme="majorHAnsi"/>
        </w:rPr>
        <w:t>The use cases for HIE and interoperability will depend on country and funder priorities.</w:t>
      </w:r>
    </w:p>
    <w:p w14:paraId="30156811" w14:textId="77777777" w:rsidR="00211EA8" w:rsidRPr="0054095B" w:rsidRDefault="00211EA8" w:rsidP="009522FA">
      <w:pPr>
        <w:pStyle w:val="ListParagraph"/>
        <w:numPr>
          <w:ilvl w:val="0"/>
          <w:numId w:val="3"/>
        </w:numPr>
        <w:rPr>
          <w:rFonts w:asciiTheme="majorHAnsi" w:hAnsiTheme="majorHAnsi"/>
          <w:b/>
        </w:rPr>
      </w:pPr>
      <w:r>
        <w:rPr>
          <w:rFonts w:asciiTheme="majorHAnsi" w:hAnsiTheme="majorHAnsi"/>
        </w:rPr>
        <w:t>LMIC that envision broad, cross-health issue and multi-sector HIE should plan for extensibility and integration from the beginning.</w:t>
      </w:r>
      <w:r w:rsidR="002134EE">
        <w:rPr>
          <w:rFonts w:asciiTheme="majorHAnsi" w:hAnsiTheme="majorHAnsi"/>
        </w:rPr>
        <w:t xml:space="preserve"> Many LMIC are constrained by</w:t>
      </w:r>
      <w:r w:rsidR="006C2849">
        <w:rPr>
          <w:rFonts w:asciiTheme="majorHAnsi" w:hAnsiTheme="majorHAnsi"/>
        </w:rPr>
        <w:t xml:space="preserve"> resources,</w:t>
      </w:r>
      <w:r w:rsidR="002134EE">
        <w:rPr>
          <w:rFonts w:asciiTheme="majorHAnsi" w:hAnsiTheme="majorHAnsi"/>
        </w:rPr>
        <w:t xml:space="preserve"> donor priorities</w:t>
      </w:r>
      <w:r w:rsidR="006C2849">
        <w:rPr>
          <w:rFonts w:asciiTheme="majorHAnsi" w:hAnsiTheme="majorHAnsi"/>
        </w:rPr>
        <w:t>,</w:t>
      </w:r>
      <w:r w:rsidR="002134EE">
        <w:rPr>
          <w:rFonts w:asciiTheme="majorHAnsi" w:hAnsiTheme="majorHAnsi"/>
        </w:rPr>
        <w:t xml:space="preserve"> and </w:t>
      </w:r>
      <w:r w:rsidR="006C2849">
        <w:rPr>
          <w:rFonts w:asciiTheme="majorHAnsi" w:hAnsiTheme="majorHAnsi"/>
        </w:rPr>
        <w:t xml:space="preserve">existing </w:t>
      </w:r>
      <w:r w:rsidR="002134EE">
        <w:rPr>
          <w:rFonts w:asciiTheme="majorHAnsi" w:hAnsiTheme="majorHAnsi"/>
        </w:rPr>
        <w:t>vertical programs. However, small-scale demonstration projects that factor in interoperability can be extended to additional use cases if planned thoughtfully.</w:t>
      </w:r>
    </w:p>
    <w:p w14:paraId="5F716059" w14:textId="65A53563" w:rsidR="003E688F" w:rsidRPr="00114A98" w:rsidRDefault="0054095B" w:rsidP="00322AE5">
      <w:pPr>
        <w:pStyle w:val="ListParagraph"/>
        <w:numPr>
          <w:ilvl w:val="0"/>
          <w:numId w:val="3"/>
        </w:numPr>
        <w:rPr>
          <w:rFonts w:asciiTheme="majorHAnsi" w:hAnsiTheme="majorHAnsi"/>
          <w:b/>
        </w:rPr>
        <w:sectPr w:rsidR="003E688F" w:rsidRPr="00114A98" w:rsidSect="004E4E7C">
          <w:footnotePr>
            <w:numFmt w:val="lowerLetter"/>
          </w:footnotePr>
          <w:pgSz w:w="15840" w:h="12240" w:orient="landscape"/>
          <w:pgMar w:top="1440" w:right="1440" w:bottom="1440" w:left="1440" w:header="720" w:footer="720" w:gutter="0"/>
          <w:cols w:space="720"/>
          <w:docGrid w:linePitch="360"/>
        </w:sectPr>
      </w:pPr>
      <w:r w:rsidRPr="0054095B">
        <w:rPr>
          <w:rFonts w:asciiTheme="majorHAnsi" w:hAnsiTheme="majorHAnsi"/>
        </w:rPr>
        <w:t>In most countries, the data collector or the place where data is physically located is seen as the “owner” or steward of the data</w:t>
      </w:r>
      <w:r>
        <w:rPr>
          <w:rFonts w:asciiTheme="majorHAnsi" w:hAnsiTheme="majorHAnsi"/>
        </w:rPr>
        <w:t xml:space="preserve">. There is increasing discussion of the patient as the true owner of their health data, but few LMIC </w:t>
      </w:r>
      <w:r w:rsidR="004E0CE2">
        <w:rPr>
          <w:rFonts w:asciiTheme="majorHAnsi" w:hAnsiTheme="majorHAnsi"/>
        </w:rPr>
        <w:t xml:space="preserve">currently </w:t>
      </w:r>
      <w:r>
        <w:rPr>
          <w:rFonts w:asciiTheme="majorHAnsi" w:hAnsiTheme="majorHAnsi"/>
        </w:rPr>
        <w:t>offer patient access to their electronic health information.</w:t>
      </w:r>
      <w:r w:rsidR="00E76CB6">
        <w:rPr>
          <w:rFonts w:asciiTheme="majorHAnsi" w:hAnsiTheme="majorHAnsi"/>
        </w:rPr>
        <w:t xml:space="preserve"> The review indicates that the notions of “ownership” and “access” are viewed differently. Ow</w:t>
      </w:r>
      <w:r w:rsidR="00D14188">
        <w:rPr>
          <w:rFonts w:asciiTheme="majorHAnsi" w:hAnsiTheme="majorHAnsi"/>
        </w:rPr>
        <w:t>n</w:t>
      </w:r>
      <w:r w:rsidR="00E76CB6">
        <w:rPr>
          <w:rFonts w:asciiTheme="majorHAnsi" w:hAnsiTheme="majorHAnsi"/>
        </w:rPr>
        <w:t xml:space="preserve">ership </w:t>
      </w:r>
      <w:r w:rsidR="00D14188">
        <w:rPr>
          <w:rFonts w:asciiTheme="majorHAnsi" w:hAnsiTheme="majorHAnsi"/>
        </w:rPr>
        <w:t xml:space="preserve">may imply the entity that has the responsibility for </w:t>
      </w:r>
      <w:r w:rsidR="00EC16B0">
        <w:rPr>
          <w:rFonts w:asciiTheme="majorHAnsi" w:hAnsiTheme="majorHAnsi"/>
        </w:rPr>
        <w:t>storing</w:t>
      </w:r>
      <w:r w:rsidR="00D14188">
        <w:rPr>
          <w:rFonts w:asciiTheme="majorHAnsi" w:hAnsiTheme="majorHAnsi"/>
        </w:rPr>
        <w:t>, safeg</w:t>
      </w:r>
      <w:r w:rsidR="00114A98">
        <w:rPr>
          <w:rFonts w:asciiTheme="majorHAnsi" w:hAnsiTheme="majorHAnsi"/>
        </w:rPr>
        <w:t xml:space="preserve">uarding, </w:t>
      </w:r>
      <w:r w:rsidR="00D14188">
        <w:rPr>
          <w:rFonts w:asciiTheme="majorHAnsi" w:hAnsiTheme="majorHAnsi"/>
        </w:rPr>
        <w:t>and</w:t>
      </w:r>
      <w:r w:rsidR="00114A98">
        <w:rPr>
          <w:rFonts w:asciiTheme="majorHAnsi" w:hAnsiTheme="majorHAnsi"/>
        </w:rPr>
        <w:t xml:space="preserve"> </w:t>
      </w:r>
      <w:r w:rsidR="00D14188">
        <w:rPr>
          <w:rFonts w:asciiTheme="majorHAnsi" w:hAnsiTheme="majorHAnsi"/>
        </w:rPr>
        <w:t xml:space="preserve">making decisions about data flow and collection. Access </w:t>
      </w:r>
      <w:r w:rsidR="00EE0A3A">
        <w:rPr>
          <w:rFonts w:asciiTheme="majorHAnsi" w:hAnsiTheme="majorHAnsi"/>
        </w:rPr>
        <w:t>may be a privilege granted by the “owner” to others to view, use, or edit data.</w:t>
      </w:r>
      <w:r w:rsidR="00114A98">
        <w:rPr>
          <w:rFonts w:asciiTheme="majorHAnsi" w:hAnsiTheme="majorHAnsi"/>
        </w:rPr>
        <w:t xml:space="preserve"> Data “stewardship” may reflect a different perspective </w:t>
      </w:r>
      <w:r w:rsidR="00236EE6">
        <w:rPr>
          <w:rFonts w:asciiTheme="majorHAnsi" w:hAnsiTheme="majorHAnsi"/>
        </w:rPr>
        <w:t xml:space="preserve">than </w:t>
      </w:r>
      <w:r w:rsidR="00114A98">
        <w:rPr>
          <w:rFonts w:asciiTheme="majorHAnsi" w:hAnsiTheme="majorHAnsi"/>
        </w:rPr>
        <w:t>the more traditional concept of “ownership,” implying more of a management and guardianship role rather than a right to data.</w:t>
      </w:r>
    </w:p>
    <w:p w14:paraId="1B8A1D5C" w14:textId="77777777" w:rsidR="003E688F" w:rsidRPr="00C624DD" w:rsidRDefault="003E688F" w:rsidP="00C624DD">
      <w:pPr>
        <w:pStyle w:val="ListParagraph"/>
        <w:numPr>
          <w:ilvl w:val="1"/>
          <w:numId w:val="4"/>
        </w:numPr>
        <w:jc w:val="center"/>
        <w:rPr>
          <w:rFonts w:asciiTheme="majorHAnsi" w:hAnsiTheme="majorHAnsi"/>
          <w:b/>
          <w:sz w:val="28"/>
          <w:szCs w:val="28"/>
        </w:rPr>
      </w:pPr>
      <w:bookmarkStart w:id="8" w:name="_Ref445201976"/>
      <w:r w:rsidRPr="00C624DD">
        <w:rPr>
          <w:rFonts w:asciiTheme="majorHAnsi" w:hAnsiTheme="majorHAnsi"/>
          <w:b/>
          <w:sz w:val="28"/>
          <w:szCs w:val="28"/>
        </w:rPr>
        <w:t>Key Area 2: Governance</w:t>
      </w:r>
      <w:bookmarkEnd w:id="8"/>
    </w:p>
    <w:p w14:paraId="1C9522E6" w14:textId="77777777" w:rsidR="003E688F" w:rsidRDefault="003E688F" w:rsidP="003E688F">
      <w:pPr>
        <w:jc w:val="center"/>
        <w:rPr>
          <w:rFonts w:asciiTheme="majorHAnsi" w:hAnsiTheme="majorHAnsi"/>
          <w:b/>
          <w:sz w:val="28"/>
          <w:szCs w:val="28"/>
        </w:rPr>
      </w:pPr>
    </w:p>
    <w:p w14:paraId="2068882E" w14:textId="670EDF3E" w:rsidR="00222DC1" w:rsidRDefault="00CD6AD3" w:rsidP="00CD6AD3">
      <w:pPr>
        <w:rPr>
          <w:rFonts w:asciiTheme="majorHAnsi" w:hAnsiTheme="majorHAnsi"/>
        </w:rPr>
      </w:pPr>
      <w:r>
        <w:rPr>
          <w:rFonts w:asciiTheme="majorHAnsi" w:hAnsiTheme="majorHAnsi"/>
        </w:rPr>
        <w:t>Governance defines the process and roles for coordinated decision-making. Governance for eHealth should be transparent and can include functions for oversight and steering, project management, subject-matter expertise across domains (e.g., national health system and services delivery, population health, national health strategy and policy, current ICT use and eHealth environment, other sectors like education, financing, telecommunications), stakeholder engagement and consultation, and communications management.</w:t>
      </w:r>
      <w:r w:rsidR="00DA3C22">
        <w:rPr>
          <w:rFonts w:asciiTheme="majorHAnsi" w:hAnsiTheme="majorHAnsi"/>
        </w:rPr>
        <w:t>[1]</w:t>
      </w:r>
    </w:p>
    <w:p w14:paraId="470CDD26" w14:textId="77777777" w:rsidR="00CD6AD3" w:rsidRPr="00CD6AD3" w:rsidRDefault="00CD6AD3" w:rsidP="00CD6AD3">
      <w:pPr>
        <w:rPr>
          <w:rFonts w:asciiTheme="majorHAnsi" w:hAnsiTheme="majorHAnsi"/>
        </w:rPr>
      </w:pPr>
    </w:p>
    <w:tbl>
      <w:tblPr>
        <w:tblStyle w:val="LightGrid-Accent1"/>
        <w:tblW w:w="0" w:type="auto"/>
        <w:tblLook w:val="04A0" w:firstRow="1" w:lastRow="0" w:firstColumn="1" w:lastColumn="0" w:noHBand="0" w:noVBand="1"/>
      </w:tblPr>
      <w:tblGrid>
        <w:gridCol w:w="2988"/>
        <w:gridCol w:w="5130"/>
        <w:gridCol w:w="2970"/>
        <w:gridCol w:w="2070"/>
      </w:tblGrid>
      <w:tr w:rsidR="00662BAB" w:rsidRPr="000926D9" w14:paraId="740DB738" w14:textId="77777777" w:rsidTr="00A707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tcPr>
          <w:p w14:paraId="653D1025" w14:textId="3129F305" w:rsidR="00662BAB" w:rsidRPr="000926D9" w:rsidRDefault="009D2B27" w:rsidP="00D51A5C">
            <w:pPr>
              <w:jc w:val="center"/>
            </w:pPr>
            <w:r w:rsidRPr="000926D9">
              <w:t xml:space="preserve">Exemplar </w:t>
            </w:r>
            <w:r w:rsidR="00662BAB" w:rsidRPr="000926D9">
              <w:t>Question/Decision Point(s)</w:t>
            </w:r>
          </w:p>
        </w:tc>
        <w:tc>
          <w:tcPr>
            <w:tcW w:w="5130" w:type="dxa"/>
          </w:tcPr>
          <w:p w14:paraId="72A1478F" w14:textId="77777777" w:rsidR="00662BAB" w:rsidRPr="000926D9" w:rsidRDefault="00662BAB" w:rsidP="00D51A5C">
            <w:pPr>
              <w:jc w:val="center"/>
              <w:cnfStyle w:val="100000000000" w:firstRow="1" w:lastRow="0" w:firstColumn="0" w:lastColumn="0" w:oddVBand="0" w:evenVBand="0" w:oddHBand="0" w:evenHBand="0" w:firstRowFirstColumn="0" w:firstRowLastColumn="0" w:lastRowFirstColumn="0" w:lastRowLastColumn="0"/>
            </w:pPr>
            <w:r w:rsidRPr="000926D9">
              <w:t>Example Option</w:t>
            </w:r>
          </w:p>
        </w:tc>
        <w:tc>
          <w:tcPr>
            <w:tcW w:w="2970" w:type="dxa"/>
          </w:tcPr>
          <w:p w14:paraId="30433D46" w14:textId="361AC1B6" w:rsidR="00662BAB" w:rsidRPr="000926D9" w:rsidRDefault="00662BAB" w:rsidP="00D51A5C">
            <w:pPr>
              <w:jc w:val="center"/>
              <w:cnfStyle w:val="100000000000" w:firstRow="1" w:lastRow="0" w:firstColumn="0" w:lastColumn="0" w:oddVBand="0" w:evenVBand="0" w:oddHBand="0" w:evenHBand="0" w:firstRowFirstColumn="0" w:firstRowLastColumn="0" w:lastRowFirstColumn="0" w:lastRowLastColumn="0"/>
            </w:pPr>
            <w:r w:rsidRPr="000926D9">
              <w:t>Where Implemented or Planned</w:t>
            </w:r>
            <w:r w:rsidR="004C3278">
              <w:rPr>
                <w:rStyle w:val="FootnoteReference"/>
              </w:rPr>
              <w:footnoteReference w:id="3"/>
            </w:r>
          </w:p>
        </w:tc>
        <w:tc>
          <w:tcPr>
            <w:tcW w:w="2070" w:type="dxa"/>
          </w:tcPr>
          <w:p w14:paraId="1E9277E1" w14:textId="77777777" w:rsidR="00662BAB" w:rsidRPr="000926D9" w:rsidRDefault="00662BAB" w:rsidP="00D51A5C">
            <w:pPr>
              <w:jc w:val="center"/>
              <w:cnfStyle w:val="100000000000" w:firstRow="1" w:lastRow="0" w:firstColumn="0" w:lastColumn="0" w:oddVBand="0" w:evenVBand="0" w:oddHBand="0" w:evenHBand="0" w:firstRowFirstColumn="0" w:firstRowLastColumn="0" w:lastRowFirstColumn="0" w:lastRowLastColumn="0"/>
            </w:pPr>
            <w:r w:rsidRPr="000926D9">
              <w:t>Digital Development Principle(s)</w:t>
            </w:r>
          </w:p>
        </w:tc>
      </w:tr>
      <w:tr w:rsidR="00F91C58" w:rsidRPr="00662BAB" w14:paraId="57266171" w14:textId="77777777" w:rsidTr="000926D9">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24BB226B" w14:textId="3A2434FE" w:rsidR="00F91C58" w:rsidRDefault="002F5182" w:rsidP="00662BAB">
            <w:r>
              <w:t xml:space="preserve">- </w:t>
            </w:r>
            <w:r w:rsidR="00F91C58">
              <w:t>Are all exchange participants bound to a common governance or trust framework?</w:t>
            </w:r>
          </w:p>
          <w:p w14:paraId="4D3AE04B" w14:textId="1DE44C57" w:rsidR="002F5182" w:rsidRPr="00662BAB" w:rsidRDefault="002F5182" w:rsidP="00662BAB">
            <w:r>
              <w:t>- If yes, who developed the governance or trust framework?</w:t>
            </w:r>
          </w:p>
        </w:tc>
        <w:tc>
          <w:tcPr>
            <w:tcW w:w="5130" w:type="dxa"/>
          </w:tcPr>
          <w:p w14:paraId="66BB8E50" w14:textId="51337998" w:rsidR="00F91C58" w:rsidRPr="00662BAB" w:rsidRDefault="00417FC6" w:rsidP="00F91C58">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Yes. </w:t>
            </w:r>
            <w:r w:rsidR="00F91C58">
              <w:rPr>
                <w:rFonts w:asciiTheme="majorHAnsi" w:hAnsiTheme="majorHAnsi"/>
              </w:rPr>
              <w:t xml:space="preserve">AeHIN participants have agreed to use </w:t>
            </w:r>
            <w:r w:rsidR="00595C9A">
              <w:rPr>
                <w:rFonts w:asciiTheme="majorHAnsi" w:hAnsiTheme="majorHAnsi"/>
              </w:rPr>
              <w:t xml:space="preserve">the Information Systems Audit and Control Association’s </w:t>
            </w:r>
            <w:r w:rsidR="00F91C58">
              <w:rPr>
                <w:rFonts w:asciiTheme="majorHAnsi" w:hAnsiTheme="majorHAnsi"/>
              </w:rPr>
              <w:t>COBIT 5, a business framework for the governance and management of enterprise IT. COBIT 5 embeds aspects of ISO/IEC 38500</w:t>
            </w:r>
            <w:r w:rsidR="00595C9A">
              <w:rPr>
                <w:rFonts w:asciiTheme="majorHAnsi" w:hAnsiTheme="majorHAnsi"/>
              </w:rPr>
              <w:t xml:space="preserve"> </w:t>
            </w:r>
            <w:r w:rsidR="00F91C58">
              <w:rPr>
                <w:rFonts w:asciiTheme="majorHAnsi" w:hAnsiTheme="majorHAnsi"/>
              </w:rPr>
              <w:t>an</w:t>
            </w:r>
            <w:r w:rsidR="00595C9A">
              <w:rPr>
                <w:rFonts w:asciiTheme="majorHAnsi" w:hAnsiTheme="majorHAnsi"/>
              </w:rPr>
              <w:t>d other</w:t>
            </w:r>
            <w:r w:rsidR="00F91C58">
              <w:rPr>
                <w:rFonts w:asciiTheme="majorHAnsi" w:hAnsiTheme="majorHAnsi"/>
              </w:rPr>
              <w:t xml:space="preserve"> international standard</w:t>
            </w:r>
            <w:r w:rsidR="00595C9A">
              <w:rPr>
                <w:rFonts w:asciiTheme="majorHAnsi" w:hAnsiTheme="majorHAnsi"/>
              </w:rPr>
              <w:t>s</w:t>
            </w:r>
            <w:r w:rsidR="00F91C58">
              <w:rPr>
                <w:rFonts w:asciiTheme="majorHAnsi" w:hAnsiTheme="majorHAnsi"/>
              </w:rPr>
              <w:t xml:space="preserve"> for organizational governance of IT.</w:t>
            </w:r>
            <w:r w:rsidR="00595C9A">
              <w:rPr>
                <w:rFonts w:asciiTheme="majorHAnsi" w:hAnsiTheme="majorHAnsi"/>
              </w:rPr>
              <w:t xml:space="preserve"> </w:t>
            </w:r>
          </w:p>
        </w:tc>
        <w:tc>
          <w:tcPr>
            <w:tcW w:w="2970" w:type="dxa"/>
          </w:tcPr>
          <w:p w14:paraId="444F7093" w14:textId="6C190E6E" w:rsidR="00F91C58" w:rsidRDefault="00B40211"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 eHealth Information Network (</w:t>
            </w:r>
            <w:r w:rsidR="00F91C58">
              <w:rPr>
                <w:rFonts w:asciiTheme="majorHAnsi" w:hAnsiTheme="majorHAnsi"/>
              </w:rPr>
              <w:t>AeHIN</w:t>
            </w:r>
            <w:r>
              <w:rPr>
                <w:rFonts w:asciiTheme="majorHAnsi" w:hAnsiTheme="majorHAnsi"/>
              </w:rPr>
              <w:t>)</w:t>
            </w:r>
            <w:r w:rsidR="00F91C58">
              <w:rPr>
                <w:rFonts w:asciiTheme="majorHAnsi" w:hAnsiTheme="majorHAnsi"/>
              </w:rPr>
              <w:t xml:space="preserve"> countries</w:t>
            </w:r>
          </w:p>
          <w:p w14:paraId="369E8541" w14:textId="77777777" w:rsidR="00F91C58" w:rsidRDefault="00F91C58"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A6ADDE2" w14:textId="77777777" w:rsidR="00F91C58" w:rsidRPr="00662BAB" w:rsidRDefault="00F91C58"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070" w:type="dxa"/>
            <w:vMerge w:val="restart"/>
          </w:tcPr>
          <w:p w14:paraId="70CF2E0B" w14:textId="6C9F64AC" w:rsidR="00CA0E87" w:rsidRPr="00662BAB" w:rsidRDefault="00F91C58"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62BAB">
              <w:rPr>
                <w:rFonts w:asciiTheme="majorHAnsi" w:hAnsiTheme="majorHAnsi"/>
              </w:rPr>
              <w:t>Understand the ecosystem; Build for sustainability</w:t>
            </w:r>
          </w:p>
        </w:tc>
      </w:tr>
      <w:tr w:rsidR="00417FC6" w:rsidRPr="00662BAB" w14:paraId="27D5E70B" w14:textId="77777777" w:rsidTr="000926D9">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988" w:type="dxa"/>
            <w:vMerge/>
          </w:tcPr>
          <w:p w14:paraId="76751938" w14:textId="77777777" w:rsidR="00417FC6" w:rsidRDefault="00417FC6" w:rsidP="00662BAB"/>
        </w:tc>
        <w:tc>
          <w:tcPr>
            <w:tcW w:w="5130" w:type="dxa"/>
          </w:tcPr>
          <w:p w14:paraId="05556C23" w14:textId="77777777" w:rsidR="00417FC6" w:rsidRDefault="00417FC6" w:rsidP="000405F9">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 A less formal governance structure because</w:t>
            </w:r>
            <w:r w:rsidR="000405F9">
              <w:rPr>
                <w:rFonts w:asciiTheme="majorHAnsi" w:hAnsiTheme="majorHAnsi"/>
              </w:rPr>
              <w:t xml:space="preserve"> the</w:t>
            </w:r>
            <w:r>
              <w:rPr>
                <w:rFonts w:asciiTheme="majorHAnsi" w:hAnsiTheme="majorHAnsi"/>
              </w:rPr>
              <w:t xml:space="preserve"> MoH is the main decision-making body (and </w:t>
            </w:r>
            <w:r w:rsidR="000405F9">
              <w:rPr>
                <w:rFonts w:asciiTheme="majorHAnsi" w:hAnsiTheme="majorHAnsi"/>
              </w:rPr>
              <w:t>oftentime</w:t>
            </w:r>
            <w:r>
              <w:rPr>
                <w:rFonts w:asciiTheme="majorHAnsi" w:hAnsiTheme="majorHAnsi"/>
              </w:rPr>
              <w:t>s there is a small private sector).</w:t>
            </w:r>
          </w:p>
        </w:tc>
        <w:tc>
          <w:tcPr>
            <w:tcW w:w="2970" w:type="dxa"/>
          </w:tcPr>
          <w:p w14:paraId="392238AE" w14:textId="65944F5C" w:rsidR="00417FC6" w:rsidRDefault="00B40211" w:rsidP="00662BA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2070" w:type="dxa"/>
            <w:vMerge/>
          </w:tcPr>
          <w:p w14:paraId="70E54D5D" w14:textId="77777777" w:rsidR="00417FC6" w:rsidRPr="00662BAB" w:rsidRDefault="00417FC6" w:rsidP="00662BA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F91C58" w:rsidRPr="00662BAB" w14:paraId="1AB27F08" w14:textId="77777777" w:rsidTr="001044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88" w:type="dxa"/>
            <w:vMerge/>
          </w:tcPr>
          <w:p w14:paraId="540D4705" w14:textId="77777777" w:rsidR="00F91C58" w:rsidRDefault="00F91C58" w:rsidP="00662BAB"/>
        </w:tc>
        <w:tc>
          <w:tcPr>
            <w:tcW w:w="5130" w:type="dxa"/>
          </w:tcPr>
          <w:p w14:paraId="1C6A633C" w14:textId="4D09A810" w:rsidR="00F91C58" w:rsidRDefault="00417FC6" w:rsidP="000C3C3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Depends. </w:t>
            </w:r>
            <w:r w:rsidR="00F91C58">
              <w:rPr>
                <w:rFonts w:asciiTheme="majorHAnsi" w:hAnsiTheme="majorHAnsi"/>
              </w:rPr>
              <w:t>“Network of networks” model – where the private sector plays a large role in the system, there are many different exchange networks (e.g., state HIEs, public-privat</w:t>
            </w:r>
            <w:r w:rsidR="00314CE8">
              <w:rPr>
                <w:rFonts w:asciiTheme="majorHAnsi" w:hAnsiTheme="majorHAnsi"/>
              </w:rPr>
              <w:t>e par</w:t>
            </w:r>
            <w:r w:rsidR="00F91C58">
              <w:rPr>
                <w:rFonts w:asciiTheme="majorHAnsi" w:hAnsiTheme="majorHAnsi"/>
              </w:rPr>
              <w:t>t</w:t>
            </w:r>
            <w:r w:rsidR="00314CE8">
              <w:rPr>
                <w:rFonts w:asciiTheme="majorHAnsi" w:hAnsiTheme="majorHAnsi"/>
              </w:rPr>
              <w:t>n</w:t>
            </w:r>
            <w:r w:rsidR="00F91C58">
              <w:rPr>
                <w:rFonts w:asciiTheme="majorHAnsi" w:hAnsiTheme="majorHAnsi"/>
              </w:rPr>
              <w:t>erships), each with their own governance and trust framework.</w:t>
            </w:r>
            <w:r w:rsidR="00314CE8">
              <w:rPr>
                <w:rFonts w:asciiTheme="majorHAnsi" w:hAnsiTheme="majorHAnsi"/>
              </w:rPr>
              <w:t xml:space="preserve"> Entities that join certain exchange networks </w:t>
            </w:r>
            <w:r w:rsidR="000C3C3B">
              <w:rPr>
                <w:rFonts w:asciiTheme="majorHAnsi" w:hAnsiTheme="majorHAnsi"/>
              </w:rPr>
              <w:t xml:space="preserve">agree to </w:t>
            </w:r>
            <w:r w:rsidR="00314CE8">
              <w:rPr>
                <w:rFonts w:asciiTheme="majorHAnsi" w:hAnsiTheme="majorHAnsi"/>
              </w:rPr>
              <w:t xml:space="preserve">abide by the governance and trust mechanisms of </w:t>
            </w:r>
            <w:r w:rsidR="00FE6B04">
              <w:rPr>
                <w:rFonts w:asciiTheme="majorHAnsi" w:hAnsiTheme="majorHAnsi"/>
              </w:rPr>
              <w:t>the particular</w:t>
            </w:r>
            <w:r w:rsidR="00314CE8">
              <w:rPr>
                <w:rFonts w:asciiTheme="majorHAnsi" w:hAnsiTheme="majorHAnsi"/>
              </w:rPr>
              <w:t xml:space="preserve"> network. </w:t>
            </w:r>
          </w:p>
        </w:tc>
        <w:tc>
          <w:tcPr>
            <w:tcW w:w="2970" w:type="dxa"/>
          </w:tcPr>
          <w:p w14:paraId="386DB529" w14:textId="05B55DD5" w:rsidR="00F91C58" w:rsidRDefault="00B40211"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2070" w:type="dxa"/>
            <w:vMerge/>
          </w:tcPr>
          <w:p w14:paraId="63CBC0DB" w14:textId="77777777" w:rsidR="00F91C58" w:rsidRPr="00662BAB" w:rsidRDefault="00F91C58"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B02D3" w:rsidRPr="00662BAB" w14:paraId="4A62C8BE" w14:textId="77777777" w:rsidTr="00BD4C2A">
        <w:trPr>
          <w:cnfStyle w:val="000000010000" w:firstRow="0" w:lastRow="0" w:firstColumn="0" w:lastColumn="0" w:oddVBand="0" w:evenVBand="0" w:oddHBand="0" w:evenHBand="1"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58988BE7" w14:textId="77777777" w:rsidR="000B02D3" w:rsidRDefault="000B02D3" w:rsidP="00C4770F">
            <w:r>
              <w:t>- Does the governance framework apply to specific use cases, or is it enterprise-wide?</w:t>
            </w:r>
          </w:p>
          <w:p w14:paraId="7BCDC941" w14:textId="6F3BF15C" w:rsidR="000B02D3" w:rsidRDefault="000B02D3" w:rsidP="00662BAB">
            <w:r>
              <w:t>- If the framework applies to one or a few use cases, can it be expanded to apply for more use cases?</w:t>
            </w:r>
          </w:p>
        </w:tc>
        <w:tc>
          <w:tcPr>
            <w:tcW w:w="5130" w:type="dxa"/>
          </w:tcPr>
          <w:p w14:paraId="20AEB99A" w14:textId="293B3785" w:rsidR="000B02D3" w:rsidRDefault="000B02D3" w:rsidP="000C3C3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Enterprise-wide, largely related to adoption of COBIT 5 governance framework and universal health coverage mandate. There have been challenges engaging the private sector, however.</w:t>
            </w:r>
          </w:p>
        </w:tc>
        <w:tc>
          <w:tcPr>
            <w:tcW w:w="2970" w:type="dxa"/>
          </w:tcPr>
          <w:p w14:paraId="140936B5" w14:textId="19DD6CF4" w:rsidR="000B02D3" w:rsidRDefault="00D73A43" w:rsidP="00C4770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r w:rsidR="000B02D3">
              <w:rPr>
                <w:rFonts w:asciiTheme="majorHAnsi" w:hAnsiTheme="majorHAnsi"/>
              </w:rPr>
              <w:t xml:space="preserve"> (e.g., the Philippines</w:t>
            </w:r>
            <w:r w:rsidR="000B02D3">
              <w:rPr>
                <w:rStyle w:val="FootnoteReference"/>
                <w:rFonts w:asciiTheme="majorHAnsi" w:hAnsiTheme="majorHAnsi"/>
              </w:rPr>
              <w:footnoteReference w:id="4"/>
            </w:r>
            <w:r w:rsidR="000B02D3">
              <w:rPr>
                <w:rFonts w:asciiTheme="majorHAnsi" w:hAnsiTheme="majorHAnsi"/>
              </w:rPr>
              <w:t>)</w:t>
            </w:r>
          </w:p>
          <w:p w14:paraId="408469F6" w14:textId="77777777" w:rsidR="000B02D3" w:rsidRDefault="000B02D3" w:rsidP="00C4770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32E1E2A7" w14:textId="77777777" w:rsidR="000B02D3" w:rsidRDefault="000B02D3" w:rsidP="00C4770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6A130D81" w14:textId="77777777" w:rsidR="000B02D3" w:rsidRDefault="000B02D3" w:rsidP="00662BA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070" w:type="dxa"/>
            <w:vMerge w:val="restart"/>
          </w:tcPr>
          <w:p w14:paraId="77F9EF6B" w14:textId="68F02615" w:rsidR="000B02D3" w:rsidRPr="00662BAB" w:rsidRDefault="000B02D3" w:rsidP="00662BA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C20D5">
              <w:rPr>
                <w:rFonts w:asciiTheme="majorHAnsi" w:hAnsiTheme="majorHAnsi"/>
              </w:rPr>
              <w:t>Design for scale; Be collaborative</w:t>
            </w:r>
          </w:p>
        </w:tc>
      </w:tr>
      <w:tr w:rsidR="000B02D3" w:rsidRPr="00662BAB" w14:paraId="6CFD174B" w14:textId="77777777" w:rsidTr="000926D9">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2988" w:type="dxa"/>
            <w:vMerge/>
          </w:tcPr>
          <w:p w14:paraId="082FB025" w14:textId="77777777" w:rsidR="000B02D3" w:rsidRDefault="000B02D3" w:rsidP="00C4770F"/>
        </w:tc>
        <w:tc>
          <w:tcPr>
            <w:tcW w:w="5130" w:type="dxa"/>
          </w:tcPr>
          <w:p w14:paraId="28852C5F" w14:textId="44738F02" w:rsidR="000B02D3" w:rsidRDefault="000B02D3" w:rsidP="000C3C3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 set of use cases, including individual treatment, payment activities of a care providers, limited health care operations, public health activities and reporting, to demonstrate “meaningful use,” uses and disclosures pursuant an authorization.</w:t>
            </w:r>
          </w:p>
        </w:tc>
        <w:tc>
          <w:tcPr>
            <w:tcW w:w="2970" w:type="dxa"/>
          </w:tcPr>
          <w:p w14:paraId="18040371" w14:textId="0E69A8AB" w:rsidR="000B02D3" w:rsidRDefault="00D73A43" w:rsidP="00C477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2070" w:type="dxa"/>
            <w:vMerge/>
          </w:tcPr>
          <w:p w14:paraId="6D04D21A" w14:textId="77777777" w:rsidR="000B02D3" w:rsidRPr="002C20D5" w:rsidRDefault="000B02D3"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B02D3" w:rsidRPr="00662BAB" w14:paraId="3B9FF8B5" w14:textId="77777777" w:rsidTr="00BD4C2A">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52E90AEC" w14:textId="03150802" w:rsidR="000B02D3" w:rsidRDefault="000B02D3" w:rsidP="00C4770F">
            <w:r>
              <w:t>What aspects are included in a governance framework?</w:t>
            </w:r>
          </w:p>
        </w:tc>
        <w:tc>
          <w:tcPr>
            <w:tcW w:w="5130" w:type="dxa"/>
          </w:tcPr>
          <w:p w14:paraId="5154CFAF" w14:textId="58E0D671" w:rsidR="000B02D3" w:rsidRDefault="000B02D3" w:rsidP="000C3C3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Technical requirements, testing requirements, policies, governance structure, accountability measures, process for adding and changing requirements</w:t>
            </w:r>
          </w:p>
        </w:tc>
        <w:tc>
          <w:tcPr>
            <w:tcW w:w="2970" w:type="dxa"/>
          </w:tcPr>
          <w:p w14:paraId="3DB03F25" w14:textId="411E2723" w:rsidR="000B02D3" w:rsidRDefault="00D73A43" w:rsidP="00C4770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2070" w:type="dxa"/>
            <w:vMerge w:val="restart"/>
          </w:tcPr>
          <w:p w14:paraId="2D734EBA" w14:textId="5575509E" w:rsidR="000B02D3" w:rsidRPr="002C20D5" w:rsidRDefault="000B02D3" w:rsidP="00662BA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C20D5">
              <w:rPr>
                <w:rFonts w:asciiTheme="majorHAnsi" w:hAnsiTheme="majorHAnsi"/>
              </w:rPr>
              <w:t>Design for scale; Be collaborative</w:t>
            </w:r>
          </w:p>
        </w:tc>
      </w:tr>
      <w:tr w:rsidR="000B02D3" w:rsidRPr="00662BAB" w14:paraId="2E53ACA0" w14:textId="77777777" w:rsidTr="001044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88" w:type="dxa"/>
            <w:vMerge/>
          </w:tcPr>
          <w:p w14:paraId="4F2A6B2C" w14:textId="77777777" w:rsidR="000B02D3" w:rsidRDefault="000B02D3" w:rsidP="00C4770F"/>
        </w:tc>
        <w:tc>
          <w:tcPr>
            <w:tcW w:w="5130" w:type="dxa"/>
          </w:tcPr>
          <w:p w14:paraId="5B124D1E" w14:textId="77777777" w:rsidR="000B02D3" w:rsidRDefault="000B02D3" w:rsidP="00C477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26626">
              <w:rPr>
                <w:rFonts w:asciiTheme="majorHAnsi" w:hAnsiTheme="majorHAnsi"/>
                <w:u w:val="single"/>
              </w:rPr>
              <w:t>Universal principles</w:t>
            </w:r>
            <w:r>
              <w:rPr>
                <w:rFonts w:asciiTheme="majorHAnsi" w:hAnsiTheme="majorHAnsi"/>
              </w:rPr>
              <w:t xml:space="preserve">: </w:t>
            </w:r>
          </w:p>
          <w:p w14:paraId="68254D51" w14:textId="77777777" w:rsidR="000B02D3" w:rsidRDefault="000B02D3" w:rsidP="00C477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HIPAA compliance, compliance with implementation guide for a use case, non-discrimination, accountability, cooperation, acceptable uses, universal customer flow downs, identity proofing and authentication, information handling and transparency</w:t>
            </w:r>
          </w:p>
          <w:p w14:paraId="295E5E76" w14:textId="7A13F8F6" w:rsidR="000B02D3" w:rsidRDefault="000B02D3" w:rsidP="000C3C3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26626">
              <w:rPr>
                <w:rFonts w:asciiTheme="majorHAnsi" w:hAnsiTheme="majorHAnsi"/>
                <w:u w:val="single"/>
              </w:rPr>
              <w:t>Customizable principles</w:t>
            </w:r>
            <w:r>
              <w:rPr>
                <w:rFonts w:asciiTheme="majorHAnsi" w:hAnsiTheme="majorHAnsi"/>
              </w:rPr>
              <w:t xml:space="preserve"> (different based on use case): Permitted purposes, permitted users, full participation, service level agreements, data sufficiency and integrity, customizable customer flow downs</w:t>
            </w:r>
          </w:p>
        </w:tc>
        <w:tc>
          <w:tcPr>
            <w:tcW w:w="2970" w:type="dxa"/>
          </w:tcPr>
          <w:p w14:paraId="245AA8CA" w14:textId="74C9FF36" w:rsidR="000B02D3" w:rsidRDefault="00E707C7" w:rsidP="0056186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2070" w:type="dxa"/>
            <w:vMerge/>
          </w:tcPr>
          <w:p w14:paraId="450A11A4" w14:textId="77777777" w:rsidR="000B02D3" w:rsidRPr="002C20D5" w:rsidRDefault="000B02D3"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A0E87" w:rsidRPr="00662BAB" w14:paraId="47B90CEF" w14:textId="77777777" w:rsidTr="00E9366F">
        <w:trPr>
          <w:cnfStyle w:val="000000010000" w:firstRow="0" w:lastRow="0" w:firstColumn="0" w:lastColumn="0" w:oddVBand="0" w:evenVBand="0" w:oddHBand="0" w:evenHBand="1"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2988" w:type="dxa"/>
          </w:tcPr>
          <w:p w14:paraId="31B1F469" w14:textId="2131F97A" w:rsidR="00CA0E87" w:rsidRDefault="00CA0E87" w:rsidP="00C4770F">
            <w:r>
              <w:t>Who are the major stakeholder groups affected by HIE and interoperability, and are they represented?</w:t>
            </w:r>
          </w:p>
        </w:tc>
        <w:tc>
          <w:tcPr>
            <w:tcW w:w="5130" w:type="dxa"/>
          </w:tcPr>
          <w:p w14:paraId="12FA3FAE" w14:textId="6686148B" w:rsidR="00CA0E87" w:rsidRPr="00526626" w:rsidRDefault="00CA0E87" w:rsidP="00C4770F">
            <w:pPr>
              <w:cnfStyle w:val="000000010000" w:firstRow="0" w:lastRow="0" w:firstColumn="0" w:lastColumn="0" w:oddVBand="0" w:evenVBand="0" w:oddHBand="0" w:evenHBand="1" w:firstRowFirstColumn="0" w:firstRowLastColumn="0" w:lastRowFirstColumn="0" w:lastRowLastColumn="0"/>
              <w:rPr>
                <w:rFonts w:asciiTheme="majorHAnsi" w:hAnsiTheme="majorHAnsi"/>
                <w:u w:val="single"/>
              </w:rPr>
            </w:pPr>
            <w:r>
              <w:rPr>
                <w:rFonts w:asciiTheme="majorHAnsi" w:hAnsiTheme="majorHAnsi"/>
              </w:rPr>
              <w:t>Mainly government sector representation with participation from academia</w:t>
            </w:r>
          </w:p>
        </w:tc>
        <w:tc>
          <w:tcPr>
            <w:tcW w:w="2970" w:type="dxa"/>
          </w:tcPr>
          <w:p w14:paraId="2569C064" w14:textId="0450A58B" w:rsidR="00CA0E87" w:rsidRDefault="006A3D4B" w:rsidP="00C4770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South America</w:t>
            </w:r>
          </w:p>
        </w:tc>
        <w:tc>
          <w:tcPr>
            <w:tcW w:w="2070" w:type="dxa"/>
          </w:tcPr>
          <w:p w14:paraId="65068F6C" w14:textId="5F2DB3A9" w:rsidR="00CA0E87" w:rsidRPr="002C20D5" w:rsidRDefault="00CA0E87" w:rsidP="00662BA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C20D5">
              <w:rPr>
                <w:rFonts w:asciiTheme="majorHAnsi" w:hAnsiTheme="majorHAnsi"/>
              </w:rPr>
              <w:t>Understand the ecosystem; Build for sustainability; Be collaborative</w:t>
            </w:r>
          </w:p>
        </w:tc>
      </w:tr>
      <w:tr w:rsidR="00CA0E87" w:rsidRPr="00662BAB" w14:paraId="0F70A201" w14:textId="77777777" w:rsidTr="000926D9">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2988" w:type="dxa"/>
          </w:tcPr>
          <w:p w14:paraId="55F049F9" w14:textId="6F03C2AC" w:rsidR="00CA0E87" w:rsidRDefault="00CA0E87" w:rsidP="00C4770F">
            <w:r>
              <w:t>Does the governance structure include representatives from the public sector, private sector, or both?</w:t>
            </w:r>
          </w:p>
        </w:tc>
        <w:tc>
          <w:tcPr>
            <w:tcW w:w="5130" w:type="dxa"/>
          </w:tcPr>
          <w:p w14:paraId="7E52AD0B" w14:textId="7E50372B" w:rsidR="00CA0E87" w:rsidRDefault="00CA0E87" w:rsidP="00C477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Representation from the public and private sectors (please refer to Best Practices Feature #1 for more information)</w:t>
            </w:r>
          </w:p>
        </w:tc>
        <w:tc>
          <w:tcPr>
            <w:tcW w:w="2970" w:type="dxa"/>
          </w:tcPr>
          <w:p w14:paraId="44C58C29" w14:textId="24EB80C4" w:rsidR="00CA0E87" w:rsidRDefault="006A3D4B" w:rsidP="00C477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tc>
        <w:tc>
          <w:tcPr>
            <w:tcW w:w="2070" w:type="dxa"/>
          </w:tcPr>
          <w:p w14:paraId="699EE2D3" w14:textId="40FABF06" w:rsidR="00CA0E87" w:rsidRPr="002C20D5" w:rsidRDefault="00CA0E87" w:rsidP="00662BA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C20D5">
              <w:rPr>
                <w:rFonts w:asciiTheme="majorHAnsi" w:hAnsiTheme="majorHAnsi"/>
              </w:rPr>
              <w:t>Understand the ecosystem; Build for sustainability; Be collaborative</w:t>
            </w:r>
          </w:p>
        </w:tc>
      </w:tr>
    </w:tbl>
    <w:p w14:paraId="0CD7E17F" w14:textId="77777777" w:rsidR="00D24EB0" w:rsidRDefault="00D24EB0" w:rsidP="00662BAB">
      <w:pPr>
        <w:rPr>
          <w:rFonts w:asciiTheme="majorHAnsi" w:hAnsiTheme="majorHAnsi"/>
        </w:rPr>
        <w:sectPr w:rsidR="00D24EB0" w:rsidSect="00922F78">
          <w:footnotePr>
            <w:numFmt w:val="lowerLetter"/>
          </w:footnotePr>
          <w:pgSz w:w="15840" w:h="12240" w:orient="landscape"/>
          <w:pgMar w:top="1440" w:right="1440" w:bottom="1440" w:left="1440" w:header="720" w:footer="720" w:gutter="0"/>
          <w:cols w:space="720"/>
          <w:docGrid w:linePitch="360"/>
        </w:sectPr>
      </w:pPr>
    </w:p>
    <w:p w14:paraId="24D38839" w14:textId="77777777" w:rsidR="00121DFF" w:rsidRDefault="00121DFF" w:rsidP="00121DFF">
      <w:pPr>
        <w:rPr>
          <w:rFonts w:asciiTheme="majorHAnsi" w:hAnsiTheme="majorHAnsi"/>
          <w:b/>
        </w:rPr>
      </w:pPr>
    </w:p>
    <w:p w14:paraId="621DB458" w14:textId="77777777" w:rsidR="00121DFF" w:rsidRDefault="00121DFF" w:rsidP="00121DFF">
      <w:pPr>
        <w:rPr>
          <w:rFonts w:asciiTheme="majorHAnsi" w:hAnsiTheme="majorHAnsi"/>
          <w:b/>
        </w:rPr>
      </w:pPr>
      <w:r>
        <w:rPr>
          <w:rFonts w:asciiTheme="majorHAnsi" w:hAnsiTheme="majorHAnsi"/>
          <w:b/>
        </w:rPr>
        <w:t>Lessons Learned:</w:t>
      </w:r>
    </w:p>
    <w:p w14:paraId="289C724E" w14:textId="5B3D1525" w:rsidR="00121DFF" w:rsidRPr="00121DFF" w:rsidRDefault="00121DFF" w:rsidP="00121DFF">
      <w:pPr>
        <w:pStyle w:val="ListParagraph"/>
        <w:numPr>
          <w:ilvl w:val="0"/>
          <w:numId w:val="3"/>
        </w:numPr>
        <w:rPr>
          <w:rFonts w:asciiTheme="majorHAnsi" w:hAnsiTheme="majorHAnsi"/>
          <w:b/>
        </w:rPr>
      </w:pPr>
      <w:r>
        <w:rPr>
          <w:rFonts w:asciiTheme="majorHAnsi" w:hAnsiTheme="majorHAnsi"/>
        </w:rPr>
        <w:t>Almost every eHealth Strategy reviewed includes a governance mechanism. This could be due to the W</w:t>
      </w:r>
      <w:r w:rsidR="00ED6B91">
        <w:rPr>
          <w:rFonts w:asciiTheme="majorHAnsi" w:hAnsiTheme="majorHAnsi"/>
        </w:rPr>
        <w:t xml:space="preserve">orld </w:t>
      </w:r>
      <w:r>
        <w:rPr>
          <w:rFonts w:asciiTheme="majorHAnsi" w:hAnsiTheme="majorHAnsi"/>
        </w:rPr>
        <w:t>H</w:t>
      </w:r>
      <w:r w:rsidR="00ED6B91">
        <w:rPr>
          <w:rFonts w:asciiTheme="majorHAnsi" w:hAnsiTheme="majorHAnsi"/>
        </w:rPr>
        <w:t xml:space="preserve">ealth </w:t>
      </w:r>
      <w:r>
        <w:rPr>
          <w:rFonts w:asciiTheme="majorHAnsi" w:hAnsiTheme="majorHAnsi"/>
        </w:rPr>
        <w:t>O</w:t>
      </w:r>
      <w:r w:rsidR="00ED6B91">
        <w:rPr>
          <w:rFonts w:asciiTheme="majorHAnsi" w:hAnsiTheme="majorHAnsi"/>
        </w:rPr>
        <w:t>rganization (WHO)</w:t>
      </w:r>
      <w:r w:rsidR="008E228D">
        <w:rPr>
          <w:rFonts w:asciiTheme="majorHAnsi" w:hAnsiTheme="majorHAnsi"/>
        </w:rPr>
        <w:t>/</w:t>
      </w:r>
      <w:r w:rsidR="00ED6B91">
        <w:rPr>
          <w:rFonts w:asciiTheme="majorHAnsi" w:hAnsiTheme="majorHAnsi"/>
        </w:rPr>
        <w:t>International Telecommunicate Union (</w:t>
      </w:r>
      <w:r w:rsidR="008E228D">
        <w:rPr>
          <w:rFonts w:asciiTheme="majorHAnsi" w:hAnsiTheme="majorHAnsi"/>
        </w:rPr>
        <w:t>ITU</w:t>
      </w:r>
      <w:r w:rsidR="00ED6B91">
        <w:rPr>
          <w:rFonts w:asciiTheme="majorHAnsi" w:hAnsiTheme="majorHAnsi"/>
        </w:rPr>
        <w:t>)</w:t>
      </w:r>
      <w:r>
        <w:rPr>
          <w:rFonts w:asciiTheme="majorHAnsi" w:hAnsiTheme="majorHAnsi"/>
        </w:rPr>
        <w:t xml:space="preserve"> 2012 eHealth Strategy Toolkit, which suggests governance as a key component of an eHealth Strategy. In actuality, governance mechanisms are not </w:t>
      </w:r>
      <w:r w:rsidR="00B45378">
        <w:rPr>
          <w:rFonts w:asciiTheme="majorHAnsi" w:hAnsiTheme="majorHAnsi"/>
        </w:rPr>
        <w:t xml:space="preserve">always </w:t>
      </w:r>
      <w:r>
        <w:rPr>
          <w:rFonts w:asciiTheme="majorHAnsi" w:hAnsiTheme="majorHAnsi"/>
        </w:rPr>
        <w:t xml:space="preserve">easily identified within countries (e.g., partners cannot easily identify the governance body) or </w:t>
      </w:r>
      <w:r w:rsidR="00B26DCE">
        <w:rPr>
          <w:rFonts w:asciiTheme="majorHAnsi" w:hAnsiTheme="majorHAnsi"/>
        </w:rPr>
        <w:t>sometimes do not</w:t>
      </w:r>
      <w:r>
        <w:rPr>
          <w:rFonts w:asciiTheme="majorHAnsi" w:hAnsiTheme="majorHAnsi"/>
        </w:rPr>
        <w:t xml:space="preserve"> appear to be utilized for decision-making</w:t>
      </w:r>
      <w:r w:rsidR="000769A5">
        <w:rPr>
          <w:rFonts w:asciiTheme="majorHAnsi" w:hAnsiTheme="majorHAnsi"/>
        </w:rPr>
        <w:t xml:space="preserve"> at the national level</w:t>
      </w:r>
      <w:r>
        <w:rPr>
          <w:rFonts w:asciiTheme="majorHAnsi" w:hAnsiTheme="majorHAnsi"/>
        </w:rPr>
        <w:t>.</w:t>
      </w:r>
      <w:r w:rsidR="000769A5">
        <w:rPr>
          <w:rFonts w:asciiTheme="majorHAnsi" w:hAnsiTheme="majorHAnsi"/>
        </w:rPr>
        <w:t xml:space="preserve"> There </w:t>
      </w:r>
      <w:r w:rsidR="00C623AE">
        <w:rPr>
          <w:rFonts w:asciiTheme="majorHAnsi" w:hAnsiTheme="majorHAnsi"/>
        </w:rPr>
        <w:t>may be</w:t>
      </w:r>
      <w:r w:rsidR="000769A5">
        <w:rPr>
          <w:rFonts w:asciiTheme="majorHAnsi" w:hAnsiTheme="majorHAnsi"/>
        </w:rPr>
        <w:t xml:space="preserve"> separate governance bodies by disease or program that ar</w:t>
      </w:r>
      <w:r w:rsidR="00BE46ED">
        <w:rPr>
          <w:rFonts w:asciiTheme="majorHAnsi" w:hAnsiTheme="majorHAnsi"/>
        </w:rPr>
        <w:t xml:space="preserve">e not integrated or coordinated (e.g., in </w:t>
      </w:r>
      <w:r w:rsidR="001A39AF">
        <w:rPr>
          <w:rFonts w:asciiTheme="majorHAnsi" w:hAnsiTheme="majorHAnsi"/>
        </w:rPr>
        <w:t xml:space="preserve">some </w:t>
      </w:r>
      <w:r w:rsidR="00BE46ED">
        <w:rPr>
          <w:rFonts w:asciiTheme="majorHAnsi" w:hAnsiTheme="majorHAnsi"/>
        </w:rPr>
        <w:t>African countries receiving donor funds for vertical programs</w:t>
      </w:r>
      <w:r w:rsidR="001A39AF">
        <w:rPr>
          <w:rFonts w:asciiTheme="majorHAnsi" w:hAnsiTheme="majorHAnsi"/>
        </w:rPr>
        <w:t xml:space="preserve"> in this review</w:t>
      </w:r>
      <w:r w:rsidR="00BE46ED">
        <w:rPr>
          <w:rFonts w:asciiTheme="majorHAnsi" w:hAnsiTheme="majorHAnsi"/>
        </w:rPr>
        <w:t>).</w:t>
      </w:r>
      <w:r w:rsidR="008E228D">
        <w:rPr>
          <w:rFonts w:asciiTheme="majorHAnsi" w:hAnsiTheme="majorHAnsi"/>
        </w:rPr>
        <w:t xml:space="preserve"> In contrast, governance implementation tends to take priority in countries with a focus on universal health coverage and enterprise-wide architecture (e.g., seen in places in Asia and South America</w:t>
      </w:r>
      <w:r w:rsidR="001A39AF">
        <w:rPr>
          <w:rFonts w:asciiTheme="majorHAnsi" w:hAnsiTheme="majorHAnsi"/>
        </w:rPr>
        <w:t xml:space="preserve"> in this review</w:t>
      </w:r>
      <w:r w:rsidR="008E228D">
        <w:rPr>
          <w:rFonts w:asciiTheme="majorHAnsi" w:hAnsiTheme="majorHAnsi"/>
        </w:rPr>
        <w:t>).</w:t>
      </w:r>
    </w:p>
    <w:p w14:paraId="14D9E81D" w14:textId="18986F49" w:rsidR="00EB063F" w:rsidRDefault="009341BF" w:rsidP="00121DFF">
      <w:pPr>
        <w:pStyle w:val="ListParagraph"/>
        <w:numPr>
          <w:ilvl w:val="0"/>
          <w:numId w:val="3"/>
        </w:numPr>
        <w:rPr>
          <w:rFonts w:asciiTheme="majorHAnsi" w:hAnsiTheme="majorHAnsi"/>
        </w:rPr>
      </w:pPr>
      <w:r>
        <w:rPr>
          <w:rFonts w:asciiTheme="majorHAnsi" w:hAnsiTheme="majorHAnsi"/>
        </w:rPr>
        <w:t xml:space="preserve">Many countries have </w:t>
      </w:r>
      <w:r w:rsidR="008537A5">
        <w:rPr>
          <w:rFonts w:asciiTheme="majorHAnsi" w:hAnsiTheme="majorHAnsi"/>
        </w:rPr>
        <w:t>delayed</w:t>
      </w:r>
      <w:r>
        <w:rPr>
          <w:rFonts w:asciiTheme="majorHAnsi" w:hAnsiTheme="majorHAnsi"/>
        </w:rPr>
        <w:t xml:space="preserve"> engage</w:t>
      </w:r>
      <w:r w:rsidR="008537A5">
        <w:rPr>
          <w:rFonts w:asciiTheme="majorHAnsi" w:hAnsiTheme="majorHAnsi"/>
        </w:rPr>
        <w:t>ment of</w:t>
      </w:r>
      <w:r>
        <w:rPr>
          <w:rFonts w:asciiTheme="majorHAnsi" w:hAnsiTheme="majorHAnsi"/>
        </w:rPr>
        <w:t xml:space="preserve"> the private sector</w:t>
      </w:r>
      <w:r w:rsidR="008537A5">
        <w:rPr>
          <w:rFonts w:asciiTheme="majorHAnsi" w:hAnsiTheme="majorHAnsi"/>
        </w:rPr>
        <w:t xml:space="preserve"> to-date</w:t>
      </w:r>
      <w:r>
        <w:rPr>
          <w:rFonts w:asciiTheme="majorHAnsi" w:hAnsiTheme="majorHAnsi"/>
        </w:rPr>
        <w:t xml:space="preserve"> or have experienced challenges engaging the private sector</w:t>
      </w:r>
      <w:r w:rsidR="0054630C" w:rsidRPr="0054630C">
        <w:rPr>
          <w:rFonts w:asciiTheme="majorHAnsi" w:hAnsiTheme="majorHAnsi"/>
        </w:rPr>
        <w:t xml:space="preserve"> </w:t>
      </w:r>
      <w:r w:rsidR="0054630C">
        <w:rPr>
          <w:rFonts w:asciiTheme="majorHAnsi" w:hAnsiTheme="majorHAnsi"/>
        </w:rPr>
        <w:t>in governance of eHealth</w:t>
      </w:r>
      <w:r>
        <w:rPr>
          <w:rFonts w:asciiTheme="majorHAnsi" w:hAnsiTheme="majorHAnsi"/>
        </w:rPr>
        <w:t>. Reasons cited include a mismatch in goals/vision between the public and private sectors</w:t>
      </w:r>
      <w:r w:rsidR="0054630C">
        <w:rPr>
          <w:rFonts w:asciiTheme="majorHAnsi" w:hAnsiTheme="majorHAnsi"/>
        </w:rPr>
        <w:t xml:space="preserve"> (e.g., lack of value proposition or incentives for the private sector)</w:t>
      </w:r>
      <w:r>
        <w:rPr>
          <w:rFonts w:asciiTheme="majorHAnsi" w:hAnsiTheme="majorHAnsi"/>
        </w:rPr>
        <w:t xml:space="preserve">, </w:t>
      </w:r>
      <w:r w:rsidR="009D1010">
        <w:rPr>
          <w:rFonts w:asciiTheme="majorHAnsi" w:hAnsiTheme="majorHAnsi"/>
        </w:rPr>
        <w:t xml:space="preserve">legal barriers, </w:t>
      </w:r>
      <w:r>
        <w:rPr>
          <w:rFonts w:asciiTheme="majorHAnsi" w:hAnsiTheme="majorHAnsi"/>
        </w:rPr>
        <w:t xml:space="preserve">lack of business agreements, </w:t>
      </w:r>
      <w:r w:rsidR="007A6E18">
        <w:rPr>
          <w:rFonts w:asciiTheme="majorHAnsi" w:hAnsiTheme="majorHAnsi"/>
        </w:rPr>
        <w:t>lack of guidance to the private sector, and prioritization of public sector use cases.</w:t>
      </w:r>
    </w:p>
    <w:p w14:paraId="494AAC95" w14:textId="16686202" w:rsidR="0025484F" w:rsidRPr="0025484F" w:rsidRDefault="00876623" w:rsidP="0025484F">
      <w:pPr>
        <w:rPr>
          <w:rFonts w:asciiTheme="majorHAnsi" w:hAnsiTheme="majorHAnsi"/>
        </w:rPr>
        <w:sectPr w:rsidR="0025484F" w:rsidRPr="0025484F" w:rsidSect="00D24EB0">
          <w:footnotePr>
            <w:numFmt w:val="lowerLetter"/>
          </w:footnotePr>
          <w:type w:val="continuous"/>
          <w:pgSz w:w="15840" w:h="12240" w:orient="landscape"/>
          <w:pgMar w:top="1440" w:right="1440" w:bottom="1440" w:left="1440" w:header="720" w:footer="720" w:gutter="0"/>
          <w:cols w:space="720"/>
          <w:docGrid w:linePitch="360"/>
        </w:sectPr>
      </w:pPr>
      <w:r w:rsidRPr="006A3D4B">
        <w:rPr>
          <w:rFonts w:asciiTheme="majorHAnsi" w:hAnsiTheme="majorHAnsi"/>
        </w:rPr>
        <w:t>If the governance framework addresses multiple use cases, a step-by-step design phase similar to a process map can assist in implementation (e.g., who needs what now, who will need what in the future, scenarios, personas, use cases, technical and business specifications).</w:t>
      </w:r>
      <w:r w:rsidR="006A3D4B" w:rsidDel="006A3D4B">
        <w:rPr>
          <w:rFonts w:asciiTheme="majorHAnsi" w:hAnsiTheme="majorHAnsi"/>
        </w:rPr>
        <w:t xml:space="preserve"> </w:t>
      </w:r>
    </w:p>
    <w:p w14:paraId="06AA68D8" w14:textId="77777777" w:rsidR="00121DFF" w:rsidRDefault="00EB063F" w:rsidP="001044F2">
      <w:pPr>
        <w:pStyle w:val="ListParagraph"/>
        <w:numPr>
          <w:ilvl w:val="0"/>
          <w:numId w:val="3"/>
        </w:numPr>
        <w:rPr>
          <w:rFonts w:asciiTheme="majorHAnsi" w:hAnsiTheme="majorHAnsi"/>
          <w:b/>
          <w:i/>
          <w:sz w:val="28"/>
          <w:szCs w:val="28"/>
        </w:rPr>
      </w:pPr>
      <w:bookmarkStart w:id="9" w:name="_Ref445721424"/>
      <w:r w:rsidRPr="00EB063F">
        <w:rPr>
          <w:rFonts w:asciiTheme="majorHAnsi" w:hAnsiTheme="majorHAnsi"/>
          <w:b/>
          <w:i/>
          <w:sz w:val="28"/>
          <w:szCs w:val="28"/>
        </w:rPr>
        <w:t>Best Practices Feature #1 – HIE Governance Framework in the Philippines</w:t>
      </w:r>
      <w:bookmarkEnd w:id="9"/>
    </w:p>
    <w:p w14:paraId="10C69DE5" w14:textId="77777777" w:rsidR="00B649D6" w:rsidRPr="00B649D6" w:rsidRDefault="00B649D6" w:rsidP="00B649D6">
      <w:pPr>
        <w:pStyle w:val="ListParagraph"/>
        <w:numPr>
          <w:ilvl w:val="1"/>
          <w:numId w:val="4"/>
        </w:numPr>
        <w:rPr>
          <w:rFonts w:asciiTheme="majorHAnsi" w:hAnsiTheme="majorHAnsi"/>
          <w:b/>
          <w:i/>
          <w:sz w:val="28"/>
          <w:szCs w:val="28"/>
        </w:rPr>
      </w:pPr>
    </w:p>
    <w:p w14:paraId="2EA41F0D" w14:textId="77777777" w:rsidR="00B649D6" w:rsidRDefault="00B649D6" w:rsidP="00B649D6">
      <w:pPr>
        <w:rPr>
          <w:rFonts w:asciiTheme="majorHAnsi" w:hAnsiTheme="majorHAnsi"/>
          <w:b/>
        </w:rPr>
      </w:pPr>
      <w:r>
        <w:rPr>
          <w:rFonts w:asciiTheme="majorHAnsi" w:hAnsiTheme="majorHAnsi"/>
          <w:b/>
        </w:rPr>
        <w:t>Key Best Practices:</w:t>
      </w:r>
    </w:p>
    <w:p w14:paraId="69480CCA" w14:textId="77777777" w:rsidR="00B649D6" w:rsidRDefault="00B649D6" w:rsidP="00B649D6">
      <w:pPr>
        <w:pStyle w:val="ListParagraph"/>
        <w:numPr>
          <w:ilvl w:val="0"/>
          <w:numId w:val="12"/>
        </w:numPr>
        <w:rPr>
          <w:rFonts w:asciiTheme="majorHAnsi" w:hAnsiTheme="majorHAnsi"/>
          <w:b/>
        </w:rPr>
      </w:pPr>
      <w:r>
        <w:rPr>
          <w:rFonts w:asciiTheme="majorHAnsi" w:hAnsiTheme="majorHAnsi"/>
          <w:b/>
        </w:rPr>
        <w:t>Governance framework in place with representation from public and private sectors.</w:t>
      </w:r>
    </w:p>
    <w:p w14:paraId="0C1F7DC6" w14:textId="77777777" w:rsidR="00B649D6" w:rsidRDefault="00B649D6" w:rsidP="00B649D6">
      <w:pPr>
        <w:pStyle w:val="ListParagraph"/>
        <w:numPr>
          <w:ilvl w:val="0"/>
          <w:numId w:val="12"/>
        </w:numPr>
        <w:rPr>
          <w:rFonts w:asciiTheme="majorHAnsi" w:hAnsiTheme="majorHAnsi"/>
          <w:b/>
        </w:rPr>
      </w:pPr>
      <w:r>
        <w:rPr>
          <w:rFonts w:asciiTheme="majorHAnsi" w:hAnsiTheme="majorHAnsi"/>
          <w:b/>
        </w:rPr>
        <w:t>Clear and simple decision-making process.</w:t>
      </w:r>
    </w:p>
    <w:p w14:paraId="2F28C6FC" w14:textId="77777777" w:rsidR="00B649D6" w:rsidRPr="00A67499" w:rsidRDefault="00B649D6" w:rsidP="00B649D6">
      <w:pPr>
        <w:pStyle w:val="ListParagraph"/>
        <w:numPr>
          <w:ilvl w:val="0"/>
          <w:numId w:val="12"/>
        </w:numPr>
        <w:rPr>
          <w:rFonts w:asciiTheme="majorHAnsi" w:hAnsiTheme="majorHAnsi"/>
          <w:b/>
        </w:rPr>
      </w:pPr>
      <w:r>
        <w:rPr>
          <w:rFonts w:asciiTheme="majorHAnsi" w:hAnsiTheme="majorHAnsi"/>
          <w:b/>
        </w:rPr>
        <w:t>Vision and priorities are agreed upon by all parties.</w:t>
      </w:r>
    </w:p>
    <w:p w14:paraId="4A6671E9" w14:textId="77777777" w:rsidR="00B649D6" w:rsidRDefault="00B649D6" w:rsidP="00B649D6">
      <w:pPr>
        <w:rPr>
          <w:rFonts w:asciiTheme="majorHAnsi" w:hAnsiTheme="majorHAnsi"/>
        </w:rPr>
      </w:pPr>
    </w:p>
    <w:p w14:paraId="572CD29B" w14:textId="77777777" w:rsidR="00B649D6" w:rsidRDefault="00B649D6" w:rsidP="00B649D6">
      <w:pPr>
        <w:rPr>
          <w:rFonts w:asciiTheme="majorHAnsi" w:hAnsiTheme="majorHAnsi"/>
          <w:b/>
        </w:rPr>
      </w:pPr>
      <w:r>
        <w:rPr>
          <w:rFonts w:asciiTheme="majorHAnsi" w:hAnsiTheme="majorHAnsi"/>
          <w:b/>
        </w:rPr>
        <w:t>Lessons Learned:</w:t>
      </w:r>
    </w:p>
    <w:p w14:paraId="6D9871C7" w14:textId="77777777" w:rsidR="00B649D6" w:rsidRDefault="00B649D6" w:rsidP="00B649D6">
      <w:pPr>
        <w:pStyle w:val="ListParagraph"/>
        <w:numPr>
          <w:ilvl w:val="0"/>
          <w:numId w:val="32"/>
        </w:numPr>
        <w:rPr>
          <w:rFonts w:asciiTheme="majorHAnsi" w:hAnsiTheme="majorHAnsi"/>
          <w:b/>
        </w:rPr>
      </w:pPr>
      <w:r>
        <w:rPr>
          <w:rFonts w:asciiTheme="majorHAnsi" w:hAnsiTheme="majorHAnsi"/>
          <w:b/>
        </w:rPr>
        <w:t>Identify “triggers” and “pain points” early on that will galvanize support and broad outreach as well as address potential roadblocks.</w:t>
      </w:r>
    </w:p>
    <w:p w14:paraId="0C51C799" w14:textId="77777777" w:rsidR="00B649D6" w:rsidRPr="00DC6E0A" w:rsidRDefault="00B649D6" w:rsidP="00B649D6">
      <w:pPr>
        <w:pStyle w:val="ListParagraph"/>
        <w:numPr>
          <w:ilvl w:val="0"/>
          <w:numId w:val="32"/>
        </w:numPr>
        <w:rPr>
          <w:rFonts w:asciiTheme="majorHAnsi" w:hAnsiTheme="majorHAnsi"/>
          <w:b/>
        </w:rPr>
      </w:pPr>
      <w:r>
        <w:rPr>
          <w:rFonts w:asciiTheme="majorHAnsi" w:hAnsiTheme="majorHAnsi"/>
          <w:b/>
        </w:rPr>
        <w:t>A unifying vision (e.g., universal health coverage) can help set direction and guide decision-making.</w:t>
      </w:r>
    </w:p>
    <w:p w14:paraId="3862E610" w14:textId="77777777" w:rsidR="00B649D6" w:rsidRDefault="00B649D6" w:rsidP="00B649D6">
      <w:pPr>
        <w:rPr>
          <w:rFonts w:asciiTheme="majorHAnsi" w:hAnsiTheme="majorHAnsi"/>
        </w:rPr>
      </w:pPr>
    </w:p>
    <w:p w14:paraId="4520D778" w14:textId="06815CA3" w:rsidR="00B649D6" w:rsidRDefault="00B649D6" w:rsidP="00B649D6">
      <w:pPr>
        <w:rPr>
          <w:rFonts w:asciiTheme="majorHAnsi" w:hAnsiTheme="majorHAnsi"/>
        </w:rPr>
      </w:pPr>
      <w:r>
        <w:rPr>
          <w:rFonts w:asciiTheme="majorHAnsi" w:hAnsiTheme="majorHAnsi"/>
        </w:rPr>
        <w:t>In 2011, Dr. Alvin Marcelo from the University of the Philippines Manila and Dr</w:t>
      </w:r>
      <w:r w:rsidR="00516A12">
        <w:rPr>
          <w:rFonts w:asciiTheme="majorHAnsi" w:hAnsiTheme="majorHAnsi"/>
        </w:rPr>
        <w:t>.</w:t>
      </w:r>
      <w:r>
        <w:rPr>
          <w:rFonts w:asciiTheme="majorHAnsi" w:hAnsiTheme="majorHAnsi"/>
        </w:rPr>
        <w:t xml:space="preserve"> Boonchai Kijsanayotin from Thailand gathered like-minded representatives from six Asian countries and started the Asia eHealth Information Network (AeHIN). The founders of AeHIN agreed there was a need to develop capacity on national leadership and governance to accelerate eHealth in Asian countries.  At the same time, the </w:t>
      </w:r>
      <w:r w:rsidR="007B108D">
        <w:rPr>
          <w:rFonts w:asciiTheme="majorHAnsi" w:hAnsiTheme="majorHAnsi"/>
        </w:rPr>
        <w:t>WHO</w:t>
      </w:r>
      <w:r>
        <w:rPr>
          <w:rFonts w:asciiTheme="majorHAnsi" w:hAnsiTheme="majorHAnsi"/>
        </w:rPr>
        <w:t xml:space="preserve"> and ITU released the WHO-ITU National eHealth Strategy Toolkit which provided the framework for national eHealth development.</w:t>
      </w:r>
    </w:p>
    <w:p w14:paraId="17F6E067" w14:textId="77777777" w:rsidR="00B649D6" w:rsidRDefault="00B649D6" w:rsidP="00B649D6">
      <w:pPr>
        <w:rPr>
          <w:rFonts w:asciiTheme="majorHAnsi" w:hAnsiTheme="majorHAnsi"/>
        </w:rPr>
      </w:pPr>
    </w:p>
    <w:p w14:paraId="750B7FAB" w14:textId="5364CFF5" w:rsidR="00B649D6" w:rsidRDefault="00B649D6" w:rsidP="00B649D6">
      <w:pPr>
        <w:rPr>
          <w:rFonts w:asciiTheme="majorHAnsi" w:hAnsiTheme="majorHAnsi"/>
        </w:rPr>
      </w:pPr>
      <w:r>
        <w:rPr>
          <w:rFonts w:asciiTheme="majorHAnsi" w:hAnsiTheme="majorHAnsi"/>
        </w:rPr>
        <w:t>Leveraging these events, Dr. Marcelo supported the Philippines Department of Health (DOH) in their adoption of the Information Systems Audit and Control Association (ISACA)’s COBIT 5, an internationally recognized business framework for the governance and management of enterprise IT. The basic COBIT 5 framework is available for free download and embeds aspects of ISO/IEC 38500, ITIL</w:t>
      </w:r>
      <w:r w:rsidR="00294D9C">
        <w:rPr>
          <w:rFonts w:asciiTheme="majorHAnsi" w:hAnsiTheme="majorHAnsi"/>
        </w:rPr>
        <w:t xml:space="preserve"> (formerly Information Technology Infrastructure Library)</w:t>
      </w:r>
      <w:r>
        <w:rPr>
          <w:rFonts w:asciiTheme="majorHAnsi" w:hAnsiTheme="majorHAnsi"/>
        </w:rPr>
        <w:t>, and other international standards. Representatives from the Philippines DOH accepted COBIT 5 because it was comprehensive and did not require deep technical expertise. It also provided a ready framework for decision-making around enterprise IT that is adaptable to the health sector.</w:t>
      </w:r>
    </w:p>
    <w:p w14:paraId="552DC26C" w14:textId="77777777" w:rsidR="00B649D6" w:rsidRDefault="00B649D6" w:rsidP="00B649D6">
      <w:pPr>
        <w:rPr>
          <w:rFonts w:asciiTheme="majorHAnsi" w:hAnsiTheme="majorHAnsi"/>
        </w:rPr>
      </w:pPr>
    </w:p>
    <w:p w14:paraId="57889A73" w14:textId="32062A6E" w:rsidR="00B649D6" w:rsidRDefault="00B649D6" w:rsidP="00B649D6">
      <w:pPr>
        <w:rPr>
          <w:rFonts w:asciiTheme="majorHAnsi" w:hAnsiTheme="majorHAnsi"/>
        </w:rPr>
      </w:pPr>
      <w:r>
        <w:rPr>
          <w:rFonts w:asciiTheme="majorHAnsi" w:hAnsiTheme="majorHAnsi"/>
        </w:rPr>
        <w:t>The Philippines DOH worked with other sectors (</w:t>
      </w:r>
      <w:r w:rsidR="00294D9C">
        <w:rPr>
          <w:rFonts w:asciiTheme="majorHAnsi" w:hAnsiTheme="majorHAnsi"/>
        </w:rPr>
        <w:t xml:space="preserve">e.g., </w:t>
      </w:r>
      <w:r>
        <w:rPr>
          <w:rFonts w:asciiTheme="majorHAnsi" w:hAnsiTheme="majorHAnsi"/>
        </w:rPr>
        <w:t>ICT, health insurance, academ</w:t>
      </w:r>
      <w:r w:rsidR="00294D9C">
        <w:rPr>
          <w:rFonts w:asciiTheme="majorHAnsi" w:hAnsiTheme="majorHAnsi"/>
        </w:rPr>
        <w:t>ia</w:t>
      </w:r>
      <w:r>
        <w:rPr>
          <w:rFonts w:asciiTheme="majorHAnsi" w:hAnsiTheme="majorHAnsi"/>
        </w:rPr>
        <w:t xml:space="preserve">) to review COBIT 5 and the WHO/ITU 2012 eHealth Strategy Toolkit with guidance from the Regenstrief Institute. The Philippines established a leadership and governance structure (see figure below). The National eHealth Steering Committee is chaired by the </w:t>
      </w:r>
      <w:r w:rsidR="00294D9C">
        <w:rPr>
          <w:rFonts w:asciiTheme="majorHAnsi" w:hAnsiTheme="majorHAnsi"/>
        </w:rPr>
        <w:t>DOH</w:t>
      </w:r>
      <w:r>
        <w:rPr>
          <w:rFonts w:asciiTheme="majorHAnsi" w:hAnsiTheme="majorHAnsi"/>
        </w:rPr>
        <w:t xml:space="preserve">, co-chaired by the Ministry of Information and Communications Technology (ICT), and meets quarterly. The National eHealth Technical Working Group (TWG) advises the Steering Committee and seeks input from stakeholders, experts, and advisory groups. </w:t>
      </w:r>
    </w:p>
    <w:p w14:paraId="2E9A193A" w14:textId="77777777" w:rsidR="00B649D6" w:rsidRDefault="00B649D6" w:rsidP="00B649D6">
      <w:pPr>
        <w:rPr>
          <w:rFonts w:asciiTheme="majorHAnsi" w:hAnsiTheme="majorHAnsi"/>
        </w:rPr>
      </w:pPr>
    </w:p>
    <w:p w14:paraId="68C68BAD" w14:textId="77777777" w:rsidR="00B649D6" w:rsidRDefault="00B649D6" w:rsidP="00B649D6">
      <w:pPr>
        <w:rPr>
          <w:rFonts w:asciiTheme="majorHAnsi" w:hAnsiTheme="majorHAnsi"/>
        </w:rPr>
      </w:pPr>
      <w:r>
        <w:rPr>
          <w:rFonts w:asciiTheme="majorHAnsi" w:hAnsiTheme="majorHAnsi"/>
        </w:rPr>
        <w:t>The Steering Committee granted the TWG permission to execute plans if the TWG reaches consensus without having to wait for a quarterly Steering Committee meeting. Issues for which the TWG cannot achieve consensus must be elevated to the Steering Committee for decision-making. This simple yet clear decision-making process is essential to making progress.</w:t>
      </w:r>
    </w:p>
    <w:p w14:paraId="23E9623D" w14:textId="77777777" w:rsidR="00B649D6" w:rsidRDefault="00B649D6" w:rsidP="00B649D6">
      <w:pPr>
        <w:rPr>
          <w:rFonts w:asciiTheme="majorHAnsi" w:hAnsiTheme="majorHAnsi"/>
        </w:rPr>
      </w:pPr>
    </w:p>
    <w:p w14:paraId="4B6A7156" w14:textId="77777777" w:rsidR="00B649D6" w:rsidRDefault="00B649D6" w:rsidP="00B649D6">
      <w:pPr>
        <w:rPr>
          <w:rFonts w:asciiTheme="majorHAnsi" w:hAnsiTheme="majorHAnsi"/>
        </w:rPr>
      </w:pPr>
      <w:r>
        <w:rPr>
          <w:rFonts w:asciiTheme="majorHAnsi" w:hAnsiTheme="majorHAnsi"/>
        </w:rPr>
        <w:t>The Philippines’ governance structure also includes participation from the private sector, including representation from:</w:t>
      </w:r>
    </w:p>
    <w:p w14:paraId="4D8ACC67" w14:textId="77777777" w:rsidR="00B649D6" w:rsidRDefault="00B649D6" w:rsidP="00B649D6">
      <w:pPr>
        <w:pStyle w:val="ListParagraph"/>
        <w:numPr>
          <w:ilvl w:val="0"/>
          <w:numId w:val="11"/>
        </w:numPr>
        <w:rPr>
          <w:rFonts w:asciiTheme="majorHAnsi" w:hAnsiTheme="majorHAnsi"/>
        </w:rPr>
      </w:pPr>
      <w:r>
        <w:rPr>
          <w:rFonts w:asciiTheme="majorHAnsi" w:hAnsiTheme="majorHAnsi"/>
        </w:rPr>
        <w:t>Ateneo de Manila University</w:t>
      </w:r>
    </w:p>
    <w:p w14:paraId="60D0754A" w14:textId="77777777" w:rsidR="00B649D6" w:rsidRDefault="00B649D6" w:rsidP="00B649D6">
      <w:pPr>
        <w:pStyle w:val="ListParagraph"/>
        <w:numPr>
          <w:ilvl w:val="0"/>
          <w:numId w:val="11"/>
        </w:numPr>
        <w:rPr>
          <w:rFonts w:asciiTheme="majorHAnsi" w:hAnsiTheme="majorHAnsi"/>
        </w:rPr>
      </w:pPr>
      <w:r>
        <w:rPr>
          <w:rFonts w:asciiTheme="majorHAnsi" w:hAnsiTheme="majorHAnsi"/>
        </w:rPr>
        <w:t>National IT Confederation of the Philippines</w:t>
      </w:r>
    </w:p>
    <w:p w14:paraId="38308AF9" w14:textId="77777777" w:rsidR="00B649D6" w:rsidRDefault="00B649D6" w:rsidP="00B649D6">
      <w:pPr>
        <w:pStyle w:val="ListParagraph"/>
        <w:numPr>
          <w:ilvl w:val="0"/>
          <w:numId w:val="11"/>
        </w:numPr>
        <w:rPr>
          <w:rFonts w:asciiTheme="majorHAnsi" w:hAnsiTheme="majorHAnsi"/>
        </w:rPr>
      </w:pPr>
      <w:r>
        <w:rPr>
          <w:rFonts w:asciiTheme="majorHAnsi" w:hAnsiTheme="majorHAnsi"/>
        </w:rPr>
        <w:t>IT Association of the Philippines</w:t>
      </w:r>
    </w:p>
    <w:p w14:paraId="39504C4C" w14:textId="77777777" w:rsidR="00B649D6" w:rsidRDefault="00B649D6" w:rsidP="00B649D6">
      <w:pPr>
        <w:pStyle w:val="ListParagraph"/>
        <w:numPr>
          <w:ilvl w:val="0"/>
          <w:numId w:val="11"/>
        </w:numPr>
        <w:rPr>
          <w:rFonts w:asciiTheme="majorHAnsi" w:hAnsiTheme="majorHAnsi"/>
        </w:rPr>
      </w:pPr>
      <w:r>
        <w:rPr>
          <w:rFonts w:asciiTheme="majorHAnsi" w:hAnsiTheme="majorHAnsi"/>
        </w:rPr>
        <w:t>ISACA</w:t>
      </w:r>
    </w:p>
    <w:p w14:paraId="588BD148" w14:textId="77777777" w:rsidR="00B649D6" w:rsidRDefault="00B649D6" w:rsidP="00B649D6">
      <w:pPr>
        <w:pStyle w:val="ListParagraph"/>
        <w:numPr>
          <w:ilvl w:val="0"/>
          <w:numId w:val="11"/>
        </w:numPr>
        <w:rPr>
          <w:rFonts w:asciiTheme="majorHAnsi" w:hAnsiTheme="majorHAnsi"/>
        </w:rPr>
      </w:pPr>
      <w:r>
        <w:rPr>
          <w:rFonts w:asciiTheme="majorHAnsi" w:hAnsiTheme="majorHAnsi"/>
        </w:rPr>
        <w:t>Medilink Inc.</w:t>
      </w:r>
    </w:p>
    <w:p w14:paraId="06E8908D" w14:textId="77777777" w:rsidR="00B649D6" w:rsidRDefault="00B649D6" w:rsidP="00B649D6">
      <w:pPr>
        <w:pStyle w:val="ListParagraph"/>
        <w:numPr>
          <w:ilvl w:val="0"/>
          <w:numId w:val="11"/>
        </w:numPr>
        <w:rPr>
          <w:rFonts w:asciiTheme="majorHAnsi" w:hAnsiTheme="majorHAnsi"/>
        </w:rPr>
      </w:pPr>
      <w:r>
        <w:rPr>
          <w:rFonts w:asciiTheme="majorHAnsi" w:hAnsiTheme="majorHAnsi"/>
        </w:rPr>
        <w:t>Philippine Medical Association</w:t>
      </w:r>
    </w:p>
    <w:p w14:paraId="22FE1916" w14:textId="77777777" w:rsidR="00B649D6" w:rsidRDefault="00B649D6" w:rsidP="00B649D6">
      <w:pPr>
        <w:pStyle w:val="ListParagraph"/>
        <w:numPr>
          <w:ilvl w:val="0"/>
          <w:numId w:val="11"/>
        </w:numPr>
        <w:rPr>
          <w:rFonts w:asciiTheme="majorHAnsi" w:hAnsiTheme="majorHAnsi"/>
        </w:rPr>
      </w:pPr>
      <w:r>
        <w:rPr>
          <w:rFonts w:asciiTheme="majorHAnsi" w:hAnsiTheme="majorHAnsi"/>
        </w:rPr>
        <w:t>Philippine Cancer Society</w:t>
      </w:r>
    </w:p>
    <w:p w14:paraId="09152CC0" w14:textId="77777777" w:rsidR="00B649D6" w:rsidRDefault="00B649D6" w:rsidP="00B649D6">
      <w:pPr>
        <w:pStyle w:val="ListParagraph"/>
        <w:numPr>
          <w:ilvl w:val="0"/>
          <w:numId w:val="11"/>
        </w:numPr>
        <w:rPr>
          <w:rFonts w:asciiTheme="majorHAnsi" w:hAnsiTheme="majorHAnsi"/>
        </w:rPr>
      </w:pPr>
      <w:r>
        <w:rPr>
          <w:rFonts w:asciiTheme="majorHAnsi" w:hAnsiTheme="majorHAnsi"/>
        </w:rPr>
        <w:t>Association of the Municipal Officers of the Philippines</w:t>
      </w:r>
    </w:p>
    <w:p w14:paraId="0C62675E" w14:textId="77777777" w:rsidR="00B649D6" w:rsidRDefault="00B649D6" w:rsidP="00B649D6">
      <w:pPr>
        <w:pStyle w:val="ListParagraph"/>
        <w:numPr>
          <w:ilvl w:val="0"/>
          <w:numId w:val="11"/>
        </w:numPr>
        <w:rPr>
          <w:rFonts w:asciiTheme="majorHAnsi" w:hAnsiTheme="majorHAnsi"/>
        </w:rPr>
      </w:pPr>
      <w:r>
        <w:rPr>
          <w:rFonts w:asciiTheme="majorHAnsi" w:hAnsiTheme="majorHAnsi"/>
        </w:rPr>
        <w:t>Philippine Hospital Association</w:t>
      </w:r>
    </w:p>
    <w:p w14:paraId="37172A51" w14:textId="77777777" w:rsidR="00A8730B" w:rsidRDefault="00B649D6" w:rsidP="00B649D6">
      <w:pPr>
        <w:pStyle w:val="ListParagraph"/>
        <w:numPr>
          <w:ilvl w:val="0"/>
          <w:numId w:val="11"/>
        </w:numPr>
        <w:rPr>
          <w:rFonts w:asciiTheme="majorHAnsi" w:hAnsiTheme="majorHAnsi"/>
        </w:rPr>
      </w:pPr>
      <w:r>
        <w:rPr>
          <w:rFonts w:asciiTheme="majorHAnsi" w:hAnsiTheme="majorHAnsi"/>
        </w:rPr>
        <w:t>Drugstore Association of the Philippines.</w:t>
      </w:r>
    </w:p>
    <w:p w14:paraId="36243BAB" w14:textId="31969D32" w:rsidR="00B649D6" w:rsidRDefault="00B649D6" w:rsidP="00A8730B">
      <w:pPr>
        <w:rPr>
          <w:rFonts w:asciiTheme="majorHAnsi" w:hAnsiTheme="majorHAnsi"/>
        </w:rPr>
      </w:pPr>
    </w:p>
    <w:p w14:paraId="416944C8" w14:textId="17A6E4FB" w:rsidR="00A8730B" w:rsidRPr="00A8730B" w:rsidRDefault="00A8730B" w:rsidP="00A8730B">
      <w:pPr>
        <w:jc w:val="center"/>
        <w:rPr>
          <w:rFonts w:asciiTheme="majorHAnsi" w:hAnsiTheme="majorHAnsi"/>
          <w:b/>
        </w:rPr>
      </w:pPr>
      <w:r w:rsidRPr="00A8730B">
        <w:rPr>
          <w:rFonts w:asciiTheme="majorHAnsi" w:hAnsiTheme="majorHAnsi"/>
          <w:b/>
        </w:rPr>
        <w:t xml:space="preserve">Figure 1. </w:t>
      </w:r>
      <w:r>
        <w:rPr>
          <w:rFonts w:asciiTheme="majorHAnsi" w:hAnsiTheme="majorHAnsi"/>
          <w:b/>
        </w:rPr>
        <w:t>eHealth Governance Structure in the Philippines</w:t>
      </w:r>
    </w:p>
    <w:p w14:paraId="2711E3A4" w14:textId="77777777" w:rsidR="00B649D6" w:rsidRPr="007520FD" w:rsidRDefault="00B649D6" w:rsidP="00B649D6">
      <w:pPr>
        <w:rPr>
          <w:rFonts w:asciiTheme="majorHAnsi" w:hAnsiTheme="majorHAnsi"/>
        </w:rPr>
      </w:pPr>
      <w:r w:rsidRPr="006A3840">
        <w:rPr>
          <w:rFonts w:asciiTheme="majorHAnsi" w:hAnsiTheme="majorHAnsi"/>
          <w:noProof/>
        </w:rPr>
        <w:drawing>
          <wp:inline distT="0" distB="0" distL="0" distR="0" wp14:anchorId="734E4EE8" wp14:editId="1E361431">
            <wp:extent cx="5943600" cy="377848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78481"/>
                    </a:xfrm>
                    <a:prstGeom prst="rect">
                      <a:avLst/>
                    </a:prstGeom>
                    <a:noFill/>
                    <a:ln>
                      <a:noFill/>
                    </a:ln>
                  </pic:spPr>
                </pic:pic>
              </a:graphicData>
            </a:graphic>
          </wp:inline>
        </w:drawing>
      </w:r>
    </w:p>
    <w:p w14:paraId="7456E038" w14:textId="77777777" w:rsidR="00B649D6" w:rsidRDefault="00B649D6" w:rsidP="00B649D6">
      <w:pPr>
        <w:rPr>
          <w:rFonts w:asciiTheme="majorHAnsi" w:hAnsiTheme="majorHAnsi"/>
        </w:rPr>
      </w:pPr>
    </w:p>
    <w:p w14:paraId="43E4B5C9" w14:textId="77777777" w:rsidR="00B649D6" w:rsidRDefault="00B649D6" w:rsidP="00B649D6">
      <w:pPr>
        <w:rPr>
          <w:rFonts w:asciiTheme="majorHAnsi" w:hAnsiTheme="majorHAnsi"/>
        </w:rPr>
      </w:pPr>
      <w:r>
        <w:rPr>
          <w:rFonts w:asciiTheme="majorHAnsi" w:hAnsiTheme="majorHAnsi"/>
        </w:rPr>
        <w:t>In 2016, the Philippines is working on the following priorities:</w:t>
      </w:r>
    </w:p>
    <w:p w14:paraId="381EBA02" w14:textId="77777777" w:rsidR="00B649D6" w:rsidRPr="00586E9B" w:rsidRDefault="00B649D6" w:rsidP="00B649D6">
      <w:pPr>
        <w:pStyle w:val="ListParagraph"/>
        <w:numPr>
          <w:ilvl w:val="0"/>
          <w:numId w:val="31"/>
        </w:numPr>
        <w:rPr>
          <w:rFonts w:asciiTheme="majorHAnsi" w:hAnsiTheme="majorHAnsi"/>
        </w:rPr>
      </w:pPr>
      <w:r w:rsidRPr="00586E9B">
        <w:rPr>
          <w:rFonts w:asciiTheme="majorHAnsi" w:hAnsiTheme="majorHAnsi"/>
        </w:rPr>
        <w:t>Launching the Philippine Health Information Exchange with a focus on a Standards Catalog and a Standards Change Management Manual.</w:t>
      </w:r>
    </w:p>
    <w:p w14:paraId="0DD2BE57" w14:textId="77777777" w:rsidR="00B649D6" w:rsidRPr="00586E9B" w:rsidRDefault="00B649D6" w:rsidP="00B649D6">
      <w:pPr>
        <w:pStyle w:val="ListParagraph"/>
        <w:numPr>
          <w:ilvl w:val="0"/>
          <w:numId w:val="31"/>
        </w:numPr>
        <w:rPr>
          <w:rFonts w:asciiTheme="majorHAnsi" w:hAnsiTheme="majorHAnsi"/>
        </w:rPr>
      </w:pPr>
      <w:r w:rsidRPr="00586E9B">
        <w:rPr>
          <w:rFonts w:asciiTheme="majorHAnsi" w:hAnsiTheme="majorHAnsi"/>
        </w:rPr>
        <w:t>Launching the Health Data Privacy Capacity-building Program.</w:t>
      </w:r>
    </w:p>
    <w:p w14:paraId="68DCBA63" w14:textId="77777777" w:rsidR="00B649D6" w:rsidRDefault="00B649D6" w:rsidP="00B649D6">
      <w:pPr>
        <w:rPr>
          <w:rFonts w:asciiTheme="majorHAnsi" w:hAnsiTheme="majorHAnsi"/>
        </w:rPr>
      </w:pPr>
    </w:p>
    <w:p w14:paraId="76E75D4D" w14:textId="3EB1C6ED" w:rsidR="00B649D6" w:rsidRDefault="00B649D6" w:rsidP="00B649D6">
      <w:pPr>
        <w:rPr>
          <w:rFonts w:asciiTheme="majorHAnsi" w:hAnsiTheme="majorHAnsi"/>
        </w:rPr>
      </w:pPr>
      <w:r>
        <w:rPr>
          <w:rFonts w:asciiTheme="majorHAnsi" w:hAnsiTheme="majorHAnsi"/>
        </w:rPr>
        <w:t xml:space="preserve">The COBIT 5 framework has been instrumental in providing a framework for broad decision-making for eHealth. For example, COBIT 5 suggests that implementers identify “triggers” that help players realize they need additional expertise and support. Dr. Marcelo identified one of the early triggers for the Philippines was to ask “Can I do this eHealth ‘thing’ by myself?” The </w:t>
      </w:r>
      <w:r w:rsidR="00585EC7">
        <w:rPr>
          <w:rFonts w:asciiTheme="majorHAnsi" w:hAnsiTheme="majorHAnsi"/>
        </w:rPr>
        <w:t>DOH</w:t>
      </w:r>
      <w:r>
        <w:rPr>
          <w:rFonts w:asciiTheme="majorHAnsi" w:hAnsiTheme="majorHAnsi"/>
        </w:rPr>
        <w:t xml:space="preserve"> and key players in the health sector realized they could not without additional participation and input from additional partners, providing the Steering Committee with an opportunity to further engage the right stakeholders. COBIT 5 also recommends the identification of “pain points” that have been bothering stakeholders. One example is when decision-makers balk</w:t>
      </w:r>
      <w:r w:rsidR="00116E52">
        <w:rPr>
          <w:rFonts w:asciiTheme="majorHAnsi" w:hAnsiTheme="majorHAnsi"/>
        </w:rPr>
        <w:t>ed</w:t>
      </w:r>
      <w:r>
        <w:rPr>
          <w:rFonts w:asciiTheme="majorHAnsi" w:hAnsiTheme="majorHAnsi"/>
        </w:rPr>
        <w:t xml:space="preserve"> at the risk of signing off on multi-million peso technology investments without thoroughly understanding how these will result in benefits to the Filipino people. For example, the Minister did not feel comfortable to commit</w:t>
      </w:r>
      <w:r w:rsidR="00116E52">
        <w:rPr>
          <w:rFonts w:asciiTheme="majorHAnsi" w:hAnsiTheme="majorHAnsi"/>
        </w:rPr>
        <w:t xml:space="preserve"> a</w:t>
      </w:r>
      <w:r>
        <w:rPr>
          <w:rFonts w:asciiTheme="majorHAnsi" w:hAnsiTheme="majorHAnsi"/>
        </w:rPr>
        <w:t xml:space="preserve"> large amount of funding for purchasing servers. By adopting the COBIT5 framework, the Minister received assurance that there are processes and checks in place to ensure that sound decision-making would ensure the right technical inputs will result into improved health outcomes. This allowed the Minister to </w:t>
      </w:r>
      <w:r w:rsidR="00516A12">
        <w:rPr>
          <w:rFonts w:asciiTheme="majorHAnsi" w:hAnsiTheme="majorHAnsi"/>
        </w:rPr>
        <w:t>support</w:t>
      </w:r>
      <w:r>
        <w:rPr>
          <w:rFonts w:asciiTheme="majorHAnsi" w:hAnsiTheme="majorHAnsi"/>
        </w:rPr>
        <w:t xml:space="preserve"> the vision of an eHealth-enabled system and work with partners on achieving the vision.</w:t>
      </w:r>
    </w:p>
    <w:p w14:paraId="4AF727C0" w14:textId="77777777" w:rsidR="00BE7463" w:rsidRDefault="00BE7463" w:rsidP="00B649D6">
      <w:pPr>
        <w:rPr>
          <w:rFonts w:asciiTheme="majorHAnsi" w:hAnsiTheme="majorHAnsi"/>
        </w:rPr>
      </w:pPr>
    </w:p>
    <w:p w14:paraId="06BCD8E7" w14:textId="52327980" w:rsidR="00BE7463" w:rsidRPr="00BE7463" w:rsidRDefault="00BE7463" w:rsidP="00B649D6">
      <w:pPr>
        <w:rPr>
          <w:rFonts w:asciiTheme="majorHAnsi" w:hAnsiTheme="majorHAnsi"/>
        </w:rPr>
      </w:pPr>
      <w:r>
        <w:rPr>
          <w:rFonts w:asciiTheme="majorHAnsi" w:hAnsiTheme="majorHAnsi"/>
          <w:i/>
        </w:rPr>
        <w:t>Source: Alvin Marcelo,</w:t>
      </w:r>
      <w:r w:rsidR="00FB024F">
        <w:rPr>
          <w:rFonts w:asciiTheme="majorHAnsi" w:hAnsiTheme="majorHAnsi"/>
          <w:i/>
        </w:rPr>
        <w:t xml:space="preserve"> MD, FPCS, CGEIT, TOFAG, ArchiMate, COBIT5 (F/I), Associate Professor of Surgery and Health Informatics,</w:t>
      </w:r>
      <w:r>
        <w:rPr>
          <w:rFonts w:asciiTheme="majorHAnsi" w:hAnsiTheme="majorHAnsi"/>
          <w:i/>
        </w:rPr>
        <w:t xml:space="preserve"> University of the Philippines Manila and </w:t>
      </w:r>
      <w:r w:rsidR="00FB024F">
        <w:rPr>
          <w:rFonts w:asciiTheme="majorHAnsi" w:hAnsiTheme="majorHAnsi"/>
          <w:i/>
        </w:rPr>
        <w:t xml:space="preserve">Executive Director, </w:t>
      </w:r>
      <w:r>
        <w:rPr>
          <w:rFonts w:asciiTheme="majorHAnsi" w:hAnsiTheme="majorHAnsi"/>
          <w:i/>
        </w:rPr>
        <w:t>Asia eHealth Information Network</w:t>
      </w:r>
    </w:p>
    <w:p w14:paraId="26172F63" w14:textId="77777777" w:rsidR="00B649D6" w:rsidRDefault="00B649D6" w:rsidP="00C3501A">
      <w:pPr>
        <w:rPr>
          <w:rFonts w:asciiTheme="majorHAnsi" w:hAnsiTheme="majorHAnsi"/>
        </w:rPr>
      </w:pPr>
    </w:p>
    <w:p w14:paraId="3AC506D7" w14:textId="77777777" w:rsidR="00B01530" w:rsidRPr="009746F4" w:rsidRDefault="00B01530" w:rsidP="009746F4">
      <w:pPr>
        <w:rPr>
          <w:rFonts w:asciiTheme="majorHAnsi" w:hAnsiTheme="majorHAnsi"/>
        </w:rPr>
        <w:sectPr w:rsidR="00B01530" w:rsidRPr="009746F4" w:rsidSect="00EB063F">
          <w:footnotePr>
            <w:numFmt w:val="lowerLetter"/>
          </w:footnotePr>
          <w:pgSz w:w="12240" w:h="15840"/>
          <w:pgMar w:top="1440" w:right="1440" w:bottom="1440" w:left="1440" w:header="720" w:footer="720" w:gutter="0"/>
          <w:cols w:space="720"/>
          <w:docGrid w:linePitch="360"/>
        </w:sectPr>
      </w:pPr>
    </w:p>
    <w:p w14:paraId="33A44AF6" w14:textId="77777777" w:rsidR="003E688F" w:rsidRPr="00C624DD" w:rsidRDefault="003E688F" w:rsidP="001908E6">
      <w:pPr>
        <w:pStyle w:val="ListParagraph"/>
        <w:numPr>
          <w:ilvl w:val="1"/>
          <w:numId w:val="10"/>
        </w:numPr>
        <w:jc w:val="center"/>
        <w:rPr>
          <w:rFonts w:asciiTheme="majorHAnsi" w:hAnsiTheme="majorHAnsi"/>
          <w:b/>
          <w:sz w:val="28"/>
          <w:szCs w:val="28"/>
        </w:rPr>
      </w:pPr>
      <w:bookmarkStart w:id="10" w:name="_Ref445201982"/>
      <w:r w:rsidRPr="00C624DD">
        <w:rPr>
          <w:rFonts w:asciiTheme="majorHAnsi" w:hAnsiTheme="majorHAnsi"/>
          <w:b/>
          <w:sz w:val="28"/>
          <w:szCs w:val="28"/>
        </w:rPr>
        <w:t>Key Area 3: HIE Policies &amp; Procedures – General</w:t>
      </w:r>
      <w:bookmarkEnd w:id="10"/>
    </w:p>
    <w:p w14:paraId="40DC8593" w14:textId="77777777" w:rsidR="003E688F" w:rsidRDefault="003E688F" w:rsidP="003E688F">
      <w:pPr>
        <w:jc w:val="center"/>
        <w:rPr>
          <w:rFonts w:asciiTheme="majorHAnsi" w:hAnsiTheme="majorHAnsi"/>
          <w:b/>
          <w:sz w:val="28"/>
          <w:szCs w:val="28"/>
        </w:rPr>
      </w:pPr>
    </w:p>
    <w:p w14:paraId="66FD39CF" w14:textId="5E5DE9D5" w:rsidR="003E688F" w:rsidRPr="00FA5B09" w:rsidRDefault="00FA5B09" w:rsidP="00FA5B09">
      <w:pPr>
        <w:rPr>
          <w:rFonts w:asciiTheme="majorHAnsi" w:hAnsiTheme="majorHAnsi"/>
        </w:rPr>
      </w:pPr>
      <w:r>
        <w:rPr>
          <w:rFonts w:asciiTheme="majorHAnsi" w:hAnsiTheme="majorHAnsi"/>
        </w:rPr>
        <w:t xml:space="preserve">These decision points </w:t>
      </w:r>
      <w:r w:rsidR="00825B51">
        <w:rPr>
          <w:rFonts w:asciiTheme="majorHAnsi" w:hAnsiTheme="majorHAnsi"/>
        </w:rPr>
        <w:t>are</w:t>
      </w:r>
      <w:r>
        <w:rPr>
          <w:rFonts w:asciiTheme="majorHAnsi" w:hAnsiTheme="majorHAnsi"/>
        </w:rPr>
        <w:t xml:space="preserve"> linked to </w:t>
      </w:r>
      <w:r w:rsidR="00825B51">
        <w:rPr>
          <w:rFonts w:asciiTheme="majorHAnsi" w:hAnsiTheme="majorHAnsi"/>
        </w:rPr>
        <w:t xml:space="preserve">standards and interoperability as well as privacy and security. Thus </w:t>
      </w:r>
      <w:r w:rsidR="00FA37BD">
        <w:rPr>
          <w:rFonts w:asciiTheme="majorHAnsi" w:hAnsiTheme="majorHAnsi"/>
        </w:rPr>
        <w:t>they are</w:t>
      </w:r>
      <w:r w:rsidR="00825B51">
        <w:rPr>
          <w:rFonts w:asciiTheme="majorHAnsi" w:hAnsiTheme="majorHAnsi"/>
        </w:rPr>
        <w:t xml:space="preserve"> classified as “general”</w:t>
      </w:r>
      <w:r w:rsidR="004764F7">
        <w:rPr>
          <w:rFonts w:asciiTheme="majorHAnsi" w:hAnsiTheme="majorHAnsi"/>
        </w:rPr>
        <w:t xml:space="preserve"> or cross-cutting issues. </w:t>
      </w:r>
    </w:p>
    <w:p w14:paraId="1B9F9923" w14:textId="77777777" w:rsidR="00222DC1" w:rsidRDefault="00222DC1" w:rsidP="003E688F">
      <w:pPr>
        <w:jc w:val="center"/>
        <w:rPr>
          <w:rFonts w:asciiTheme="majorHAnsi" w:hAnsiTheme="majorHAnsi"/>
          <w:b/>
          <w:sz w:val="28"/>
          <w:szCs w:val="28"/>
        </w:rPr>
      </w:pPr>
    </w:p>
    <w:tbl>
      <w:tblPr>
        <w:tblStyle w:val="LightGrid-Accent1"/>
        <w:tblW w:w="0" w:type="auto"/>
        <w:tblLook w:val="04A0" w:firstRow="1" w:lastRow="0" w:firstColumn="1" w:lastColumn="0" w:noHBand="0" w:noVBand="1"/>
      </w:tblPr>
      <w:tblGrid>
        <w:gridCol w:w="1718"/>
        <w:gridCol w:w="2812"/>
        <w:gridCol w:w="3282"/>
        <w:gridCol w:w="3287"/>
        <w:gridCol w:w="2077"/>
      </w:tblGrid>
      <w:tr w:rsidR="00222DC1" w:rsidRPr="000369BA" w14:paraId="1965A7BA" w14:textId="77777777" w:rsidTr="000369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9" w:type="dxa"/>
          </w:tcPr>
          <w:p w14:paraId="54C28C82" w14:textId="77777777" w:rsidR="00222DC1" w:rsidRPr="000369BA" w:rsidRDefault="00222DC1" w:rsidP="00D51A5C">
            <w:pPr>
              <w:jc w:val="center"/>
            </w:pPr>
            <w:r w:rsidRPr="000369BA">
              <w:t>Theme</w:t>
            </w:r>
          </w:p>
        </w:tc>
        <w:tc>
          <w:tcPr>
            <w:tcW w:w="2829" w:type="dxa"/>
          </w:tcPr>
          <w:p w14:paraId="46954B4A" w14:textId="315CDD96" w:rsidR="00222DC1" w:rsidRPr="000369BA" w:rsidRDefault="009D2B27" w:rsidP="00D51A5C">
            <w:pPr>
              <w:jc w:val="center"/>
              <w:cnfStyle w:val="100000000000" w:firstRow="1" w:lastRow="0" w:firstColumn="0" w:lastColumn="0" w:oddVBand="0" w:evenVBand="0" w:oddHBand="0" w:evenHBand="0" w:firstRowFirstColumn="0" w:firstRowLastColumn="0" w:lastRowFirstColumn="0" w:lastRowLastColumn="0"/>
            </w:pPr>
            <w:r w:rsidRPr="000369BA">
              <w:t xml:space="preserve">Exemplar </w:t>
            </w:r>
            <w:r w:rsidR="00222DC1" w:rsidRPr="000369BA">
              <w:t>Question/Decision Point(s)</w:t>
            </w:r>
          </w:p>
        </w:tc>
        <w:tc>
          <w:tcPr>
            <w:tcW w:w="3330" w:type="dxa"/>
          </w:tcPr>
          <w:p w14:paraId="68763D95" w14:textId="77777777" w:rsidR="00222DC1" w:rsidRPr="000369BA"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0369BA">
              <w:t>Example Option</w:t>
            </w:r>
          </w:p>
        </w:tc>
        <w:tc>
          <w:tcPr>
            <w:tcW w:w="3330" w:type="dxa"/>
          </w:tcPr>
          <w:p w14:paraId="1B2565F5" w14:textId="0B07DDE4" w:rsidR="00222DC1" w:rsidRPr="000369BA"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0369BA">
              <w:t>Where Implemented or Planned</w:t>
            </w:r>
            <w:r w:rsidR="004C3278">
              <w:rPr>
                <w:rStyle w:val="FootnoteReference"/>
              </w:rPr>
              <w:footnoteReference w:id="5"/>
            </w:r>
          </w:p>
        </w:tc>
        <w:tc>
          <w:tcPr>
            <w:tcW w:w="2088" w:type="dxa"/>
          </w:tcPr>
          <w:p w14:paraId="04C51FE8" w14:textId="77777777" w:rsidR="00222DC1" w:rsidRPr="000369BA"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0369BA">
              <w:t>Digital Development Principle(s)</w:t>
            </w:r>
          </w:p>
        </w:tc>
      </w:tr>
      <w:tr w:rsidR="004344D4" w:rsidRPr="00FA5B09" w14:paraId="2D3E560D" w14:textId="77777777" w:rsidTr="000369BA">
        <w:trPr>
          <w:cnfStyle w:val="000000100000" w:firstRow="0" w:lastRow="0" w:firstColumn="0" w:lastColumn="0" w:oddVBand="0" w:evenVBand="0" w:oddHBand="1"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1599" w:type="dxa"/>
            <w:vMerge w:val="restart"/>
          </w:tcPr>
          <w:p w14:paraId="6BE056FF" w14:textId="77777777" w:rsidR="004344D4" w:rsidRPr="00FA5B09" w:rsidRDefault="004344D4" w:rsidP="00825B51">
            <w:r>
              <w:t>Patient Identification</w:t>
            </w:r>
          </w:p>
        </w:tc>
        <w:tc>
          <w:tcPr>
            <w:tcW w:w="2829" w:type="dxa"/>
            <w:vMerge w:val="restart"/>
          </w:tcPr>
          <w:p w14:paraId="187658F8" w14:textId="77777777" w:rsidR="004344D4" w:rsidRPr="00FA5B09"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How will patients be uniquely identified or matched?</w:t>
            </w:r>
          </w:p>
        </w:tc>
        <w:tc>
          <w:tcPr>
            <w:tcW w:w="3330" w:type="dxa"/>
          </w:tcPr>
          <w:p w14:paraId="0F3FDDF7"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National or unique patient identifier</w:t>
            </w:r>
          </w:p>
          <w:p w14:paraId="2033053B"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05C5A42"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1FF8E29"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3FDA238"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4452AB1"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C8394CE"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EF067C5" w14:textId="77777777" w:rsidR="004344D4" w:rsidRPr="00FA5B09"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330" w:type="dxa"/>
          </w:tcPr>
          <w:p w14:paraId="08B26A90" w14:textId="6FBF0FDA" w:rsidR="004344D4" w:rsidRPr="00FA5B09" w:rsidRDefault="004344D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South America</w:t>
            </w:r>
            <w:r w:rsidR="00370BA2">
              <w:rPr>
                <w:rFonts w:asciiTheme="majorHAnsi" w:hAnsiTheme="majorHAnsi"/>
              </w:rPr>
              <w:t>, Central America and Caribbean</w:t>
            </w:r>
            <w:r>
              <w:rPr>
                <w:rFonts w:asciiTheme="majorHAnsi" w:hAnsiTheme="majorHAnsi"/>
              </w:rPr>
              <w:t xml:space="preserve">, </w:t>
            </w:r>
            <w:r w:rsidR="00370BA2">
              <w:rPr>
                <w:rFonts w:asciiTheme="majorHAnsi" w:hAnsiTheme="majorHAnsi"/>
              </w:rPr>
              <w:t>Africa</w:t>
            </w:r>
          </w:p>
        </w:tc>
        <w:tc>
          <w:tcPr>
            <w:tcW w:w="2088" w:type="dxa"/>
            <w:vMerge w:val="restart"/>
          </w:tcPr>
          <w:p w14:paraId="3FAEBABA" w14:textId="77777777" w:rsidR="004344D4" w:rsidRPr="00FA5B09"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27F47">
              <w:rPr>
                <w:rFonts w:asciiTheme="majorHAnsi" w:hAnsiTheme="majorHAnsi"/>
              </w:rPr>
              <w:t>Be data driven; Address privacy and security</w:t>
            </w:r>
          </w:p>
        </w:tc>
      </w:tr>
      <w:tr w:rsidR="004344D4" w:rsidRPr="00FA5B09" w14:paraId="533D4B6E" w14:textId="77777777" w:rsidTr="000369BA">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99" w:type="dxa"/>
            <w:vMerge/>
          </w:tcPr>
          <w:p w14:paraId="4B77FA74" w14:textId="77777777" w:rsidR="004344D4" w:rsidRDefault="004344D4" w:rsidP="00825B51"/>
        </w:tc>
        <w:tc>
          <w:tcPr>
            <w:tcW w:w="2829" w:type="dxa"/>
            <w:vMerge/>
          </w:tcPr>
          <w:p w14:paraId="54D003CA" w14:textId="77777777" w:rsidR="004344D4" w:rsidRDefault="004344D4"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330" w:type="dxa"/>
          </w:tcPr>
          <w:p w14:paraId="4B2E3972" w14:textId="77777777" w:rsidR="004344D4" w:rsidRDefault="004344D4"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Patient matching based on demographics and other data</w:t>
            </w:r>
          </w:p>
        </w:tc>
        <w:tc>
          <w:tcPr>
            <w:tcW w:w="3330" w:type="dxa"/>
          </w:tcPr>
          <w:p w14:paraId="475E94D1" w14:textId="0FD01988" w:rsidR="004344D4" w:rsidRDefault="004344D4" w:rsidP="00EB345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2088" w:type="dxa"/>
            <w:vMerge/>
          </w:tcPr>
          <w:p w14:paraId="127FFDEE" w14:textId="77777777" w:rsidR="004344D4" w:rsidRPr="00727F47" w:rsidRDefault="004344D4"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4344D4" w:rsidRPr="00FA5B09" w14:paraId="0D4B4F28" w14:textId="77777777" w:rsidTr="000369B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99" w:type="dxa"/>
            <w:vMerge/>
          </w:tcPr>
          <w:p w14:paraId="7183AF19" w14:textId="77777777" w:rsidR="004344D4" w:rsidRDefault="004344D4" w:rsidP="00825B51"/>
        </w:tc>
        <w:tc>
          <w:tcPr>
            <w:tcW w:w="2829" w:type="dxa"/>
            <w:vMerge/>
          </w:tcPr>
          <w:p w14:paraId="63E140C0"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330" w:type="dxa"/>
          </w:tcPr>
          <w:p w14:paraId="537DEA87" w14:textId="77777777" w:rsidR="004344D4"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Biometrics</w:t>
            </w:r>
          </w:p>
        </w:tc>
        <w:tc>
          <w:tcPr>
            <w:tcW w:w="3330" w:type="dxa"/>
          </w:tcPr>
          <w:p w14:paraId="209B22A6" w14:textId="45295514" w:rsidR="004344D4" w:rsidRDefault="00F511F6" w:rsidP="00F511F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w:t>
            </w:r>
            <w:r w:rsidR="00407F37">
              <w:rPr>
                <w:rFonts w:asciiTheme="majorHAnsi" w:hAnsiTheme="majorHAnsi"/>
              </w:rPr>
              <w:t>o solution using biometrics identified</w:t>
            </w:r>
          </w:p>
        </w:tc>
        <w:tc>
          <w:tcPr>
            <w:tcW w:w="2088" w:type="dxa"/>
            <w:vMerge/>
          </w:tcPr>
          <w:p w14:paraId="7A8CF977" w14:textId="77777777" w:rsidR="004344D4" w:rsidRPr="00727F47" w:rsidRDefault="004344D4" w:rsidP="00825B5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825B51" w:rsidRPr="00FA5B09" w14:paraId="20E9B26C" w14:textId="77777777" w:rsidTr="00036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14:paraId="1D286E00" w14:textId="77777777" w:rsidR="00825B51" w:rsidRDefault="00825B51" w:rsidP="00825B51">
            <w:r>
              <w:t>Patient Consent</w:t>
            </w:r>
          </w:p>
        </w:tc>
        <w:tc>
          <w:tcPr>
            <w:tcW w:w="2829" w:type="dxa"/>
          </w:tcPr>
          <w:p w14:paraId="77EC1D7C" w14:textId="77777777" w:rsidR="00825B51" w:rsidRDefault="00825B51"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What kind of patient consent policy will be implemented?</w:t>
            </w:r>
          </w:p>
          <w:p w14:paraId="3310BFE1" w14:textId="193A1C69" w:rsidR="00876623" w:rsidRDefault="00876623"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Who will “own” or “steward” the data?</w:t>
            </w:r>
          </w:p>
        </w:tc>
        <w:tc>
          <w:tcPr>
            <w:tcW w:w="3330" w:type="dxa"/>
          </w:tcPr>
          <w:p w14:paraId="249DF853" w14:textId="77777777" w:rsidR="00825B51" w:rsidRDefault="00825B51"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Opt-in</w:t>
            </w:r>
          </w:p>
          <w:p w14:paraId="5B4C5CF8" w14:textId="77777777" w:rsidR="00825B51" w:rsidRPr="00FA5B09" w:rsidRDefault="00825B51"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Opt-out</w:t>
            </w:r>
          </w:p>
        </w:tc>
        <w:tc>
          <w:tcPr>
            <w:tcW w:w="3330" w:type="dxa"/>
          </w:tcPr>
          <w:p w14:paraId="1A9A97FA" w14:textId="77777777" w:rsidR="00825B51" w:rsidRPr="00D57212" w:rsidRDefault="00D57212"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b/>
              </w:rPr>
              <w:t xml:space="preserve">Gap </w:t>
            </w:r>
            <w:r w:rsidR="00EA0B4F">
              <w:rPr>
                <w:rFonts w:asciiTheme="majorHAnsi" w:hAnsiTheme="majorHAnsi"/>
              </w:rPr>
              <w:t>–</w:t>
            </w:r>
            <w:r>
              <w:rPr>
                <w:rFonts w:asciiTheme="majorHAnsi" w:hAnsiTheme="majorHAnsi"/>
              </w:rPr>
              <w:t xml:space="preserve"> </w:t>
            </w:r>
            <w:r w:rsidR="00EA0B4F">
              <w:rPr>
                <w:rFonts w:asciiTheme="majorHAnsi" w:hAnsiTheme="majorHAnsi"/>
              </w:rPr>
              <w:t>the review was not able to elucidate the existence of national level consent policies. All eHealth Strategies include privacy &amp; security and/or confidentiality as a key issue, but the policies and implementation are unknown.</w:t>
            </w:r>
          </w:p>
        </w:tc>
        <w:tc>
          <w:tcPr>
            <w:tcW w:w="2088" w:type="dxa"/>
          </w:tcPr>
          <w:p w14:paraId="37C52358" w14:textId="77777777" w:rsidR="00825B51" w:rsidRPr="00FA5B09" w:rsidRDefault="00727F47" w:rsidP="00825B5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27F47">
              <w:rPr>
                <w:rFonts w:asciiTheme="majorHAnsi" w:hAnsiTheme="majorHAnsi"/>
              </w:rPr>
              <w:t>Address privacy and security; Understand the ecosystem</w:t>
            </w:r>
          </w:p>
        </w:tc>
      </w:tr>
    </w:tbl>
    <w:p w14:paraId="406EAFB4" w14:textId="77777777" w:rsidR="00D51A5C" w:rsidRDefault="00D51A5C" w:rsidP="00D51A5C">
      <w:pPr>
        <w:rPr>
          <w:rFonts w:asciiTheme="majorHAnsi" w:hAnsiTheme="majorHAnsi"/>
          <w:b/>
        </w:rPr>
      </w:pPr>
    </w:p>
    <w:p w14:paraId="71575764" w14:textId="77777777" w:rsidR="00222DC1" w:rsidRDefault="00D51A5C" w:rsidP="00D51A5C">
      <w:pPr>
        <w:rPr>
          <w:rFonts w:asciiTheme="majorHAnsi" w:hAnsiTheme="majorHAnsi"/>
          <w:b/>
        </w:rPr>
      </w:pPr>
      <w:r>
        <w:rPr>
          <w:rFonts w:asciiTheme="majorHAnsi" w:hAnsiTheme="majorHAnsi"/>
          <w:b/>
        </w:rPr>
        <w:t>Lessons Learned:</w:t>
      </w:r>
    </w:p>
    <w:p w14:paraId="3EC090B6" w14:textId="77777777" w:rsidR="00B62B2B" w:rsidRPr="00B62B2B" w:rsidRDefault="00B62B2B" w:rsidP="00B62B2B">
      <w:pPr>
        <w:pStyle w:val="ListParagraph"/>
        <w:numPr>
          <w:ilvl w:val="0"/>
          <w:numId w:val="9"/>
        </w:numPr>
        <w:rPr>
          <w:rFonts w:asciiTheme="majorHAnsi" w:hAnsiTheme="majorHAnsi"/>
          <w:b/>
          <w:sz w:val="28"/>
          <w:szCs w:val="28"/>
        </w:rPr>
      </w:pPr>
      <w:r>
        <w:rPr>
          <w:rFonts w:asciiTheme="majorHAnsi" w:hAnsiTheme="majorHAnsi"/>
        </w:rPr>
        <w:t xml:space="preserve">The cultural attitude toward patient confidentiality </w:t>
      </w:r>
      <w:r w:rsidR="00A47FFA">
        <w:rPr>
          <w:rFonts w:asciiTheme="majorHAnsi" w:hAnsiTheme="majorHAnsi"/>
        </w:rPr>
        <w:t xml:space="preserve">and self-identification </w:t>
      </w:r>
      <w:r w:rsidR="007A0336">
        <w:rPr>
          <w:rFonts w:asciiTheme="majorHAnsi" w:hAnsiTheme="majorHAnsi"/>
        </w:rPr>
        <w:t>may affect the acceptability of a national identifier.</w:t>
      </w:r>
      <w:r w:rsidR="00A47FFA">
        <w:rPr>
          <w:rFonts w:asciiTheme="majorHAnsi" w:hAnsiTheme="majorHAnsi"/>
        </w:rPr>
        <w:t xml:space="preserve"> Countries that have implemented a national or unique identifier appear better able to match records compared to </w:t>
      </w:r>
      <w:r w:rsidR="00FB745C">
        <w:rPr>
          <w:rFonts w:asciiTheme="majorHAnsi" w:hAnsiTheme="majorHAnsi"/>
        </w:rPr>
        <w:t xml:space="preserve">those using </w:t>
      </w:r>
      <w:r w:rsidR="00A47FFA">
        <w:rPr>
          <w:rFonts w:asciiTheme="majorHAnsi" w:hAnsiTheme="majorHAnsi"/>
        </w:rPr>
        <w:t>patient matching based on demographics data.</w:t>
      </w:r>
    </w:p>
    <w:p w14:paraId="7C7C79D8" w14:textId="70019EB8" w:rsidR="00D51A5C" w:rsidRPr="002F3C7F" w:rsidRDefault="00B62B2B" w:rsidP="00B62B2B">
      <w:pPr>
        <w:pStyle w:val="ListParagraph"/>
        <w:numPr>
          <w:ilvl w:val="0"/>
          <w:numId w:val="9"/>
        </w:numPr>
        <w:rPr>
          <w:rFonts w:asciiTheme="majorHAnsi" w:hAnsiTheme="majorHAnsi"/>
          <w:b/>
          <w:sz w:val="28"/>
          <w:szCs w:val="28"/>
        </w:rPr>
      </w:pPr>
      <w:r w:rsidRPr="00B62B2B">
        <w:rPr>
          <w:rFonts w:asciiTheme="majorHAnsi" w:hAnsiTheme="majorHAnsi"/>
        </w:rPr>
        <w:t>Ex</w:t>
      </w:r>
      <w:r>
        <w:rPr>
          <w:rFonts w:asciiTheme="majorHAnsi" w:hAnsiTheme="majorHAnsi"/>
        </w:rPr>
        <w:t xml:space="preserve">perts indicated there is great potential for biometrics for unique patient identification, but challenges remain with the cost of the technology as well as practicality </w:t>
      </w:r>
      <w:r w:rsidR="009B33D2">
        <w:rPr>
          <w:rFonts w:asciiTheme="majorHAnsi" w:hAnsiTheme="majorHAnsi"/>
        </w:rPr>
        <w:t xml:space="preserve">in LMIC </w:t>
      </w:r>
      <w:r>
        <w:rPr>
          <w:rFonts w:asciiTheme="majorHAnsi" w:hAnsiTheme="majorHAnsi"/>
        </w:rPr>
        <w:t>(e.g., for populations engaged in manual labor, fingerprints would not be reliable for unique identification).</w:t>
      </w:r>
    </w:p>
    <w:p w14:paraId="4E5B4A9B" w14:textId="5DB1B815" w:rsidR="00A505D0" w:rsidRDefault="0012150E" w:rsidP="00B62B2B">
      <w:pPr>
        <w:pStyle w:val="ListParagraph"/>
        <w:numPr>
          <w:ilvl w:val="0"/>
          <w:numId w:val="9"/>
        </w:numPr>
        <w:rPr>
          <w:rFonts w:asciiTheme="majorHAnsi" w:hAnsiTheme="majorHAnsi"/>
        </w:rPr>
        <w:sectPr w:rsidR="00A505D0" w:rsidSect="00922F78">
          <w:footnotePr>
            <w:numFmt w:val="lowerLetter"/>
          </w:footnotePr>
          <w:pgSz w:w="15840" w:h="12240" w:orient="landscape"/>
          <w:pgMar w:top="1440" w:right="1440" w:bottom="1440" w:left="1440" w:header="720" w:footer="720" w:gutter="0"/>
          <w:cols w:space="720"/>
          <w:docGrid w:linePitch="360"/>
        </w:sectPr>
      </w:pPr>
      <w:r>
        <w:rPr>
          <w:rFonts w:asciiTheme="majorHAnsi" w:hAnsiTheme="majorHAnsi"/>
        </w:rPr>
        <w:t>While there is general acknowledgement that patient consent issues as related to confidentiality, privacy, and security are important, some countries appear to prioritize discussions about architecture and standards before deciding how consent will be managed. This may be especially true where interoperability has yet to be demonstrated or has only been demonstrated on a small scale rather than nationally.</w:t>
      </w:r>
      <w:r w:rsidR="00731E9D">
        <w:rPr>
          <w:rFonts w:asciiTheme="majorHAnsi" w:hAnsiTheme="majorHAnsi"/>
        </w:rPr>
        <w:t xml:space="preserve"> This could also be related to the lack of legal frameworks for making privacy decisions and the lack of national-level governance bodies. Decision-makers could benefit from concrete examples of different consent policy implementations and guidance on how to </w:t>
      </w:r>
      <w:r w:rsidR="009B33D2">
        <w:rPr>
          <w:rFonts w:asciiTheme="majorHAnsi" w:hAnsiTheme="majorHAnsi"/>
        </w:rPr>
        <w:t xml:space="preserve">facilitate </w:t>
      </w:r>
      <w:r w:rsidR="00731E9D">
        <w:rPr>
          <w:rFonts w:asciiTheme="majorHAnsi" w:hAnsiTheme="majorHAnsi"/>
        </w:rPr>
        <w:t>these conversations with the right partners and stakeholders.</w:t>
      </w:r>
    </w:p>
    <w:p w14:paraId="1F49EEF5" w14:textId="0C8E41A7" w:rsidR="00A505D0" w:rsidRDefault="00A505D0" w:rsidP="00A505D0">
      <w:pPr>
        <w:pStyle w:val="ListParagraph"/>
        <w:numPr>
          <w:ilvl w:val="2"/>
          <w:numId w:val="4"/>
        </w:numPr>
        <w:jc w:val="center"/>
        <w:rPr>
          <w:rFonts w:asciiTheme="majorHAnsi" w:hAnsiTheme="majorHAnsi"/>
          <w:b/>
          <w:i/>
          <w:sz w:val="28"/>
          <w:szCs w:val="28"/>
        </w:rPr>
      </w:pPr>
      <w:bookmarkStart w:id="11" w:name="_Ref445732467"/>
      <w:r w:rsidRPr="00EB063F">
        <w:rPr>
          <w:rFonts w:asciiTheme="majorHAnsi" w:hAnsiTheme="majorHAnsi"/>
          <w:b/>
          <w:i/>
          <w:sz w:val="28"/>
          <w:szCs w:val="28"/>
        </w:rPr>
        <w:t>Best Practices Feature #</w:t>
      </w:r>
      <w:r>
        <w:rPr>
          <w:rFonts w:asciiTheme="majorHAnsi" w:hAnsiTheme="majorHAnsi"/>
          <w:b/>
          <w:i/>
          <w:sz w:val="28"/>
          <w:szCs w:val="28"/>
        </w:rPr>
        <w:t>2</w:t>
      </w:r>
      <w:r w:rsidRPr="00EB063F">
        <w:rPr>
          <w:rFonts w:asciiTheme="majorHAnsi" w:hAnsiTheme="majorHAnsi"/>
          <w:b/>
          <w:i/>
          <w:sz w:val="28"/>
          <w:szCs w:val="28"/>
        </w:rPr>
        <w:t xml:space="preserve"> – </w:t>
      </w:r>
      <w:r>
        <w:rPr>
          <w:rFonts w:asciiTheme="majorHAnsi" w:hAnsiTheme="majorHAnsi"/>
          <w:b/>
          <w:i/>
          <w:sz w:val="28"/>
          <w:szCs w:val="28"/>
        </w:rPr>
        <w:t xml:space="preserve">Policies for eHealth and HIE in </w:t>
      </w:r>
      <w:bookmarkEnd w:id="11"/>
      <w:r w:rsidR="009F7CCD">
        <w:rPr>
          <w:rFonts w:asciiTheme="majorHAnsi" w:hAnsiTheme="majorHAnsi"/>
          <w:b/>
          <w:i/>
          <w:sz w:val="28"/>
          <w:szCs w:val="28"/>
        </w:rPr>
        <w:t>Peru</w:t>
      </w:r>
    </w:p>
    <w:p w14:paraId="7260EDE4" w14:textId="77777777" w:rsidR="00A505D0" w:rsidRDefault="00A505D0" w:rsidP="00A505D0">
      <w:pPr>
        <w:rPr>
          <w:rFonts w:asciiTheme="majorHAnsi" w:hAnsiTheme="majorHAnsi"/>
          <w:b/>
          <w:sz w:val="28"/>
          <w:szCs w:val="28"/>
        </w:rPr>
      </w:pPr>
    </w:p>
    <w:p w14:paraId="0B932936" w14:textId="77777777" w:rsidR="00A505D0" w:rsidRDefault="007E4709" w:rsidP="00A505D0">
      <w:pPr>
        <w:rPr>
          <w:rFonts w:asciiTheme="majorHAnsi" w:hAnsiTheme="majorHAnsi"/>
          <w:b/>
        </w:rPr>
      </w:pPr>
      <w:r>
        <w:rPr>
          <w:rFonts w:asciiTheme="majorHAnsi" w:hAnsiTheme="majorHAnsi"/>
          <w:b/>
        </w:rPr>
        <w:t>Key Best Practices:</w:t>
      </w:r>
    </w:p>
    <w:p w14:paraId="27A0A6F4" w14:textId="77777777" w:rsidR="007E4709" w:rsidRPr="007E4709" w:rsidRDefault="00C20A49" w:rsidP="007E4709">
      <w:pPr>
        <w:pStyle w:val="ListParagraph"/>
        <w:numPr>
          <w:ilvl w:val="0"/>
          <w:numId w:val="15"/>
        </w:numPr>
        <w:rPr>
          <w:rFonts w:asciiTheme="majorHAnsi" w:hAnsiTheme="majorHAnsi"/>
          <w:b/>
        </w:rPr>
      </w:pPr>
      <w:r>
        <w:rPr>
          <w:rFonts w:asciiTheme="majorHAnsi" w:hAnsiTheme="majorHAnsi"/>
          <w:b/>
        </w:rPr>
        <w:t>Legally enforceable policies for the use of ICT and eHealth pro</w:t>
      </w:r>
      <w:r w:rsidR="006D5840">
        <w:rPr>
          <w:rFonts w:asciiTheme="majorHAnsi" w:hAnsiTheme="majorHAnsi"/>
          <w:b/>
        </w:rPr>
        <w:t>vide a solid foundation and clear expectations for HIE and interoperability.</w:t>
      </w:r>
    </w:p>
    <w:p w14:paraId="5931AA2B" w14:textId="77777777" w:rsidR="00A505D0" w:rsidRPr="007E4709" w:rsidRDefault="00A505D0" w:rsidP="00A505D0">
      <w:pPr>
        <w:rPr>
          <w:rFonts w:asciiTheme="majorHAnsi" w:hAnsiTheme="majorHAnsi"/>
        </w:rPr>
      </w:pPr>
    </w:p>
    <w:p w14:paraId="7FFB3D7C" w14:textId="70A6C868" w:rsidR="005F1B06" w:rsidRDefault="009F7CCD" w:rsidP="005F1B06">
      <w:pPr>
        <w:rPr>
          <w:rFonts w:ascii="Cambria" w:hAnsi="Cambria"/>
        </w:rPr>
      </w:pPr>
      <w:r>
        <w:rPr>
          <w:rFonts w:ascii="Cambria" w:hAnsi="Cambria"/>
        </w:rPr>
        <w:t>Peru</w:t>
      </w:r>
      <w:r w:rsidR="005F1B06">
        <w:rPr>
          <w:rFonts w:ascii="Cambria" w:hAnsi="Cambria"/>
        </w:rPr>
        <w:t>’s National Electronic Government Plan for 2013-2017 includes 28 projects. Of these, six priority projects in the health sector were included, as follows:</w:t>
      </w:r>
    </w:p>
    <w:p w14:paraId="6472AB84" w14:textId="77777777" w:rsidR="005F1B06" w:rsidRDefault="005F1B06" w:rsidP="005F1B06">
      <w:pPr>
        <w:pStyle w:val="ListParagraph"/>
        <w:numPr>
          <w:ilvl w:val="0"/>
          <w:numId w:val="15"/>
        </w:numPr>
        <w:rPr>
          <w:rFonts w:ascii="Cambria" w:hAnsi="Cambria"/>
        </w:rPr>
      </w:pPr>
      <w:r>
        <w:rPr>
          <w:rFonts w:ascii="Cambria" w:hAnsi="Cambria"/>
        </w:rPr>
        <w:t xml:space="preserve">Online registration system for live births </w:t>
      </w:r>
    </w:p>
    <w:p w14:paraId="1E2ACF55" w14:textId="77777777" w:rsidR="005F1B06" w:rsidRDefault="005F1B06" w:rsidP="005F1B06">
      <w:pPr>
        <w:pStyle w:val="ListParagraph"/>
        <w:numPr>
          <w:ilvl w:val="0"/>
          <w:numId w:val="15"/>
        </w:numPr>
        <w:rPr>
          <w:rFonts w:ascii="Cambria" w:hAnsi="Cambria"/>
        </w:rPr>
      </w:pPr>
      <w:r>
        <w:rPr>
          <w:rFonts w:ascii="Cambria" w:hAnsi="Cambria"/>
        </w:rPr>
        <w:t>Telehealth in rural and border areas aimed at strengthening the capacities of facility staff</w:t>
      </w:r>
    </w:p>
    <w:p w14:paraId="6B60A454" w14:textId="77777777" w:rsidR="005F1B06" w:rsidRDefault="005F1B06" w:rsidP="005F1B06">
      <w:pPr>
        <w:pStyle w:val="ListParagraph"/>
        <w:numPr>
          <w:ilvl w:val="0"/>
          <w:numId w:val="15"/>
        </w:numPr>
        <w:rPr>
          <w:rFonts w:ascii="Cambria" w:hAnsi="Cambria"/>
          <w:lang w:val="es-PE"/>
        </w:rPr>
      </w:pPr>
      <w:r>
        <w:rPr>
          <w:rFonts w:ascii="Cambria" w:hAnsi="Cambria"/>
          <w:lang w:val="es-PE"/>
        </w:rPr>
        <w:t>Telehealth for prioritized health care centers</w:t>
      </w:r>
    </w:p>
    <w:p w14:paraId="758D0A0C" w14:textId="5A760FB2" w:rsidR="005F1B06" w:rsidRDefault="005F1B06" w:rsidP="005F1B06">
      <w:pPr>
        <w:pStyle w:val="ListParagraph"/>
        <w:numPr>
          <w:ilvl w:val="0"/>
          <w:numId w:val="15"/>
        </w:numPr>
        <w:rPr>
          <w:rFonts w:ascii="Cambria" w:hAnsi="Cambria"/>
          <w:lang w:val="es-PE"/>
        </w:rPr>
      </w:pPr>
      <w:r>
        <w:rPr>
          <w:rFonts w:ascii="Cambria" w:hAnsi="Cambria"/>
          <w:lang w:val="es-PE"/>
        </w:rPr>
        <w:t>Electronic medical records</w:t>
      </w:r>
    </w:p>
    <w:p w14:paraId="3EC75EFA" w14:textId="77777777" w:rsidR="005F1B06" w:rsidRDefault="005F1B06" w:rsidP="005F1B06">
      <w:pPr>
        <w:pStyle w:val="ListParagraph"/>
        <w:numPr>
          <w:ilvl w:val="0"/>
          <w:numId w:val="15"/>
        </w:numPr>
        <w:rPr>
          <w:rFonts w:ascii="Cambria" w:hAnsi="Cambria"/>
          <w:lang w:val="es-PE"/>
        </w:rPr>
      </w:pPr>
      <w:r>
        <w:rPr>
          <w:rFonts w:ascii="Cambria" w:hAnsi="Cambria"/>
          <w:lang w:val="es-PE"/>
        </w:rPr>
        <w:t xml:space="preserve">Health care referral system </w:t>
      </w:r>
    </w:p>
    <w:p w14:paraId="019376F7" w14:textId="77777777" w:rsidR="005F1B06" w:rsidRPr="00622E43" w:rsidRDefault="005F1B06" w:rsidP="005F1B06">
      <w:pPr>
        <w:pStyle w:val="ListParagraph"/>
        <w:numPr>
          <w:ilvl w:val="0"/>
          <w:numId w:val="15"/>
        </w:numPr>
        <w:rPr>
          <w:rFonts w:ascii="Cambria" w:hAnsi="Cambria"/>
        </w:rPr>
      </w:pPr>
      <w:r w:rsidRPr="00157AD0">
        <w:rPr>
          <w:rFonts w:ascii="Cambria" w:hAnsi="Cambria"/>
        </w:rPr>
        <w:t>Telemedicine, including videoconferencing</w:t>
      </w:r>
      <w:r>
        <w:rPr>
          <w:rFonts w:ascii="Cambria" w:hAnsi="Cambria"/>
        </w:rPr>
        <w:t xml:space="preserve"> and</w:t>
      </w:r>
      <w:r w:rsidRPr="00157AD0">
        <w:rPr>
          <w:rFonts w:ascii="Cambria" w:hAnsi="Cambria"/>
        </w:rPr>
        <w:t xml:space="preserve"> imaging transmission</w:t>
      </w:r>
      <w:r w:rsidRPr="00622E43">
        <w:rPr>
          <w:rFonts w:ascii="Cambria" w:hAnsi="Cambria"/>
        </w:rPr>
        <w:t>.</w:t>
      </w:r>
    </w:p>
    <w:p w14:paraId="1147828D" w14:textId="77777777" w:rsidR="005F1B06" w:rsidRPr="00622E43" w:rsidRDefault="005F1B06" w:rsidP="005F1B06">
      <w:pPr>
        <w:pStyle w:val="ListParagraph"/>
        <w:rPr>
          <w:rFonts w:ascii="Cambria" w:hAnsi="Cambria"/>
        </w:rPr>
      </w:pPr>
    </w:p>
    <w:p w14:paraId="7F682420" w14:textId="233BF4B0" w:rsidR="005F1B06" w:rsidRDefault="005F1B06" w:rsidP="005F1B06">
      <w:pPr>
        <w:pStyle w:val="ListParagraph"/>
        <w:ind w:left="0"/>
        <w:rPr>
          <w:rFonts w:ascii="Cambria" w:hAnsi="Cambria"/>
        </w:rPr>
      </w:pPr>
      <w:r>
        <w:rPr>
          <w:rFonts w:ascii="Cambria" w:hAnsi="Cambria"/>
        </w:rPr>
        <w:t xml:space="preserve">In addition, The Peruvian Digital Agenda 2.0 established the importance of increasing connectivity of hospitals and health care centers in Peru. In addition, the policy promotes the development of health information systems to improve hospital management, including online medical appointments and electronic prescriptions. </w:t>
      </w:r>
    </w:p>
    <w:p w14:paraId="593EE136" w14:textId="77777777" w:rsidR="005F1B06" w:rsidRDefault="005F1B06" w:rsidP="005F1B06">
      <w:pPr>
        <w:pStyle w:val="ListParagraph"/>
        <w:ind w:left="0"/>
        <w:rPr>
          <w:rFonts w:ascii="Cambria" w:hAnsi="Cambria"/>
        </w:rPr>
      </w:pPr>
    </w:p>
    <w:p w14:paraId="5C52C755" w14:textId="7619B6AD" w:rsidR="005F1B06" w:rsidRDefault="009F7CCD" w:rsidP="005F1B06">
      <w:pPr>
        <w:rPr>
          <w:rFonts w:ascii="Cambria" w:hAnsi="Cambria"/>
        </w:rPr>
      </w:pPr>
      <w:r>
        <w:rPr>
          <w:rFonts w:ascii="Cambria" w:hAnsi="Cambria"/>
        </w:rPr>
        <w:t>Peru</w:t>
      </w:r>
      <w:r w:rsidR="005F1B06">
        <w:rPr>
          <w:rFonts w:ascii="Cambria" w:hAnsi="Cambria"/>
        </w:rPr>
        <w:t xml:space="preserve"> has provided strong and clear guidance with a series of national level policies for eHealth and the use of ICT, detailed in Table 2.</w:t>
      </w:r>
    </w:p>
    <w:p w14:paraId="6EB5E53D" w14:textId="77777777" w:rsidR="005F1B06" w:rsidRDefault="005F1B06" w:rsidP="005F1B06">
      <w:pPr>
        <w:rPr>
          <w:rFonts w:ascii="Cambria" w:hAnsi="Cambria"/>
        </w:rPr>
      </w:pPr>
    </w:p>
    <w:p w14:paraId="53283B70" w14:textId="69808ADD" w:rsidR="005F1B06" w:rsidRPr="001D0E55" w:rsidRDefault="005F1B06" w:rsidP="005F1B06">
      <w:pPr>
        <w:spacing w:after="120"/>
        <w:rPr>
          <w:rFonts w:ascii="Cambria" w:hAnsi="Cambria"/>
          <w:b/>
        </w:rPr>
      </w:pPr>
      <w:r w:rsidRPr="00060787">
        <w:rPr>
          <w:rFonts w:ascii="Cambria" w:hAnsi="Cambria"/>
          <w:b/>
        </w:rPr>
        <w:t>Table</w:t>
      </w:r>
      <w:r>
        <w:rPr>
          <w:rFonts w:ascii="Cambria" w:hAnsi="Cambria"/>
          <w:b/>
        </w:rPr>
        <w:t xml:space="preserve"> 2</w:t>
      </w:r>
      <w:r w:rsidRPr="00060787">
        <w:rPr>
          <w:rFonts w:ascii="Cambria" w:hAnsi="Cambria"/>
          <w:b/>
        </w:rPr>
        <w:t xml:space="preserve">. Legal </w:t>
      </w:r>
      <w:r w:rsidR="00AC1015">
        <w:rPr>
          <w:rFonts w:ascii="Cambria" w:hAnsi="Cambria"/>
          <w:b/>
        </w:rPr>
        <w:t>P</w:t>
      </w:r>
      <w:r w:rsidRPr="00060787">
        <w:rPr>
          <w:rFonts w:ascii="Cambria" w:hAnsi="Cambria"/>
          <w:b/>
        </w:rPr>
        <w:t xml:space="preserve">olicies for the </w:t>
      </w:r>
      <w:r w:rsidR="00AC1015">
        <w:rPr>
          <w:rFonts w:ascii="Cambria" w:hAnsi="Cambria"/>
          <w:b/>
        </w:rPr>
        <w:t>U</w:t>
      </w:r>
      <w:r w:rsidRPr="00060787">
        <w:rPr>
          <w:rFonts w:ascii="Cambria" w:hAnsi="Cambria"/>
          <w:b/>
        </w:rPr>
        <w:t xml:space="preserve">se of eHealth and ICT in </w:t>
      </w:r>
      <w:r w:rsidR="009F7CCD">
        <w:rPr>
          <w:rFonts w:ascii="Cambria" w:hAnsi="Cambria"/>
          <w:b/>
        </w:rPr>
        <w:t>Peru</w:t>
      </w:r>
    </w:p>
    <w:tbl>
      <w:tblPr>
        <w:tblW w:w="0" w:type="auto"/>
        <w:tblBorders>
          <w:top w:val="single" w:sz="8" w:space="0" w:color="4F81BD"/>
          <w:bottom w:val="single" w:sz="8" w:space="0" w:color="4F81BD"/>
        </w:tblBorders>
        <w:tblLook w:val="04A0" w:firstRow="1" w:lastRow="0" w:firstColumn="1" w:lastColumn="0" w:noHBand="0" w:noVBand="1"/>
      </w:tblPr>
      <w:tblGrid>
        <w:gridCol w:w="1824"/>
        <w:gridCol w:w="2393"/>
        <w:gridCol w:w="5359"/>
      </w:tblGrid>
      <w:tr w:rsidR="005F1B06" w:rsidRPr="0098195D" w14:paraId="5EA3A527" w14:textId="77777777" w:rsidTr="00C4770F">
        <w:trPr>
          <w:tblHeader/>
        </w:trPr>
        <w:tc>
          <w:tcPr>
            <w:tcW w:w="1824" w:type="dxa"/>
            <w:tcBorders>
              <w:top w:val="single" w:sz="8" w:space="0" w:color="4F81BD"/>
              <w:left w:val="nil"/>
              <w:bottom w:val="single" w:sz="8" w:space="0" w:color="4F81BD"/>
              <w:right w:val="nil"/>
            </w:tcBorders>
          </w:tcPr>
          <w:p w14:paraId="497D0F47"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Category</w:t>
            </w:r>
          </w:p>
        </w:tc>
        <w:tc>
          <w:tcPr>
            <w:tcW w:w="2393" w:type="dxa"/>
            <w:tcBorders>
              <w:top w:val="single" w:sz="8" w:space="0" w:color="4F81BD"/>
              <w:left w:val="nil"/>
              <w:bottom w:val="single" w:sz="8" w:space="0" w:color="4F81BD"/>
              <w:right w:val="nil"/>
            </w:tcBorders>
          </w:tcPr>
          <w:p w14:paraId="5DBFFD98"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Legal Document</w:t>
            </w:r>
          </w:p>
        </w:tc>
        <w:tc>
          <w:tcPr>
            <w:tcW w:w="5359" w:type="dxa"/>
            <w:tcBorders>
              <w:top w:val="single" w:sz="8" w:space="0" w:color="4F81BD"/>
              <w:left w:val="nil"/>
              <w:bottom w:val="single" w:sz="8" w:space="0" w:color="4F81BD"/>
              <w:right w:val="nil"/>
            </w:tcBorders>
          </w:tcPr>
          <w:p w14:paraId="29709227"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Description (Translated from Spanish using Google Translate)</w:t>
            </w:r>
          </w:p>
        </w:tc>
      </w:tr>
      <w:tr w:rsidR="005F1B06" w:rsidRPr="0098195D" w14:paraId="104502DD" w14:textId="77777777" w:rsidTr="00C4770F">
        <w:tc>
          <w:tcPr>
            <w:tcW w:w="1824" w:type="dxa"/>
            <w:tcBorders>
              <w:left w:val="nil"/>
              <w:right w:val="nil"/>
            </w:tcBorders>
            <w:shd w:val="clear" w:color="auto" w:fill="D3DFEE"/>
          </w:tcPr>
          <w:p w14:paraId="4703B1D8"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Strategy</w:t>
            </w:r>
          </w:p>
        </w:tc>
        <w:tc>
          <w:tcPr>
            <w:tcW w:w="2393" w:type="dxa"/>
            <w:tcBorders>
              <w:left w:val="nil"/>
              <w:right w:val="nil"/>
            </w:tcBorders>
            <w:shd w:val="clear" w:color="auto" w:fill="D3DFEE"/>
          </w:tcPr>
          <w:p w14:paraId="73CA7BCA"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Supreme Decree No. 066-2011-PCM</w:t>
            </w:r>
          </w:p>
        </w:tc>
        <w:tc>
          <w:tcPr>
            <w:tcW w:w="5359" w:type="dxa"/>
            <w:tcBorders>
              <w:left w:val="nil"/>
              <w:right w:val="nil"/>
            </w:tcBorders>
            <w:shd w:val="clear" w:color="auto" w:fill="D3DFEE"/>
          </w:tcPr>
          <w:p w14:paraId="39FBE9CC" w14:textId="169C5289" w:rsidR="005F1B06" w:rsidRPr="0098195D" w:rsidRDefault="00BB0ADA" w:rsidP="00C4770F">
            <w:pPr>
              <w:rPr>
                <w:rFonts w:ascii="Cambria" w:hAnsi="Cambria"/>
                <w:color w:val="365F91"/>
                <w:sz w:val="22"/>
                <w:szCs w:val="22"/>
              </w:rPr>
            </w:pPr>
            <w:hyperlink r:id="rId22" w:history="1">
              <w:r w:rsidR="005F1B06" w:rsidRPr="0098195D">
                <w:rPr>
                  <w:rStyle w:val="Hyperlink"/>
                  <w:rFonts w:ascii="Cambria" w:hAnsi="Cambria"/>
                  <w:sz w:val="22"/>
                  <w:szCs w:val="22"/>
                </w:rPr>
                <w:t xml:space="preserve">Development Plan of the Society for Information in </w:t>
              </w:r>
              <w:r w:rsidR="009F7CCD">
                <w:rPr>
                  <w:rStyle w:val="Hyperlink"/>
                  <w:rFonts w:ascii="Cambria" w:hAnsi="Cambria"/>
                  <w:sz w:val="22"/>
                  <w:szCs w:val="22"/>
                </w:rPr>
                <w:t>Peru</w:t>
              </w:r>
              <w:r w:rsidR="005F1B06" w:rsidRPr="0098195D">
                <w:rPr>
                  <w:rStyle w:val="Hyperlink"/>
                  <w:rFonts w:ascii="Cambria" w:hAnsi="Cambria"/>
                  <w:sz w:val="22"/>
                  <w:szCs w:val="22"/>
                </w:rPr>
                <w:t xml:space="preserve"> – The Peruvian Digital Agenda 2.0</w:t>
              </w:r>
            </w:hyperlink>
          </w:p>
        </w:tc>
      </w:tr>
      <w:tr w:rsidR="005F1B06" w:rsidRPr="0098195D" w14:paraId="344AC0B7" w14:textId="77777777" w:rsidTr="00C4770F">
        <w:tc>
          <w:tcPr>
            <w:tcW w:w="1824" w:type="dxa"/>
          </w:tcPr>
          <w:p w14:paraId="428BA443"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Strategy</w:t>
            </w:r>
          </w:p>
        </w:tc>
        <w:tc>
          <w:tcPr>
            <w:tcW w:w="2393" w:type="dxa"/>
          </w:tcPr>
          <w:p w14:paraId="02297F3A"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Legislative Decree No. 604</w:t>
            </w:r>
          </w:p>
        </w:tc>
        <w:tc>
          <w:tcPr>
            <w:tcW w:w="5359" w:type="dxa"/>
          </w:tcPr>
          <w:p w14:paraId="0D02823B" w14:textId="77777777" w:rsidR="005F1B06" w:rsidRPr="0098195D" w:rsidRDefault="00BB0ADA" w:rsidP="00C4770F">
            <w:pPr>
              <w:rPr>
                <w:rFonts w:ascii="Cambria" w:hAnsi="Cambria"/>
                <w:color w:val="365F91"/>
                <w:sz w:val="22"/>
                <w:szCs w:val="22"/>
              </w:rPr>
            </w:pPr>
            <w:hyperlink r:id="rId23" w:history="1">
              <w:r w:rsidR="005F1B06" w:rsidRPr="0098195D">
                <w:rPr>
                  <w:rStyle w:val="Hyperlink"/>
                  <w:rFonts w:ascii="Cambria" w:hAnsi="Cambria"/>
                  <w:sz w:val="22"/>
                  <w:szCs w:val="22"/>
                </w:rPr>
                <w:t>Law on the Organization and Functions of the National Institute of Statistics and Informatics</w:t>
              </w:r>
            </w:hyperlink>
          </w:p>
        </w:tc>
      </w:tr>
      <w:tr w:rsidR="005F1B06" w:rsidRPr="0098195D" w14:paraId="0EED24C2" w14:textId="77777777" w:rsidTr="00C4770F">
        <w:tc>
          <w:tcPr>
            <w:tcW w:w="1824" w:type="dxa"/>
            <w:tcBorders>
              <w:left w:val="nil"/>
              <w:right w:val="nil"/>
            </w:tcBorders>
            <w:shd w:val="clear" w:color="auto" w:fill="D3DFEE"/>
          </w:tcPr>
          <w:p w14:paraId="32D00E8E"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Strategy</w:t>
            </w:r>
          </w:p>
        </w:tc>
        <w:tc>
          <w:tcPr>
            <w:tcW w:w="2393" w:type="dxa"/>
            <w:tcBorders>
              <w:left w:val="nil"/>
              <w:right w:val="nil"/>
            </w:tcBorders>
            <w:shd w:val="clear" w:color="auto" w:fill="D3DFEE"/>
          </w:tcPr>
          <w:p w14:paraId="72CB1F42"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No. 61-2011-PCM</w:t>
            </w:r>
          </w:p>
        </w:tc>
        <w:tc>
          <w:tcPr>
            <w:tcW w:w="5359" w:type="dxa"/>
            <w:tcBorders>
              <w:left w:val="nil"/>
              <w:right w:val="nil"/>
            </w:tcBorders>
            <w:shd w:val="clear" w:color="auto" w:fill="D3DFEE"/>
          </w:tcPr>
          <w:p w14:paraId="757B1BF9" w14:textId="77777777" w:rsidR="005F1B06" w:rsidRPr="0098195D" w:rsidRDefault="00BB0ADA" w:rsidP="00C4770F">
            <w:pPr>
              <w:rPr>
                <w:rFonts w:ascii="Cambria" w:hAnsi="Cambria"/>
                <w:color w:val="365F91"/>
                <w:sz w:val="22"/>
                <w:szCs w:val="22"/>
              </w:rPr>
            </w:pPr>
            <w:hyperlink r:id="rId24" w:history="1">
              <w:r w:rsidR="005F1B06" w:rsidRPr="0098195D">
                <w:rPr>
                  <w:rStyle w:val="Hyperlink"/>
                  <w:rFonts w:ascii="Cambria" w:hAnsi="Cambria"/>
                  <w:sz w:val="22"/>
                  <w:szCs w:val="22"/>
                </w:rPr>
                <w:t>Guidelines that establish the minimum electronic content for government strategic plans</w:t>
              </w:r>
            </w:hyperlink>
          </w:p>
        </w:tc>
      </w:tr>
      <w:tr w:rsidR="005F1B06" w:rsidRPr="0098195D" w14:paraId="1F4DABF8" w14:textId="77777777" w:rsidTr="00C4770F">
        <w:tc>
          <w:tcPr>
            <w:tcW w:w="1824" w:type="dxa"/>
          </w:tcPr>
          <w:p w14:paraId="3AA7DF59"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Strategy</w:t>
            </w:r>
          </w:p>
        </w:tc>
        <w:tc>
          <w:tcPr>
            <w:tcW w:w="2393" w:type="dxa"/>
          </w:tcPr>
          <w:p w14:paraId="55302E00"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No. 1942-2002 SA/DM</w:t>
            </w:r>
          </w:p>
        </w:tc>
        <w:tc>
          <w:tcPr>
            <w:tcW w:w="5359" w:type="dxa"/>
          </w:tcPr>
          <w:p w14:paraId="34619995" w14:textId="77777777" w:rsidR="005F1B06" w:rsidRPr="0098195D" w:rsidRDefault="00BB0ADA" w:rsidP="00C4770F">
            <w:pPr>
              <w:rPr>
                <w:rFonts w:ascii="Cambria" w:hAnsi="Cambria"/>
                <w:color w:val="365F91"/>
                <w:sz w:val="22"/>
                <w:szCs w:val="22"/>
              </w:rPr>
            </w:pPr>
            <w:hyperlink r:id="rId25" w:history="1">
              <w:r w:rsidR="005F1B06" w:rsidRPr="0098195D">
                <w:rPr>
                  <w:rStyle w:val="Hyperlink"/>
                  <w:rFonts w:ascii="Cambria" w:hAnsi="Cambria"/>
                  <w:sz w:val="22"/>
                  <w:szCs w:val="22"/>
                </w:rPr>
                <w:t>Approval of Directive “General Standards for the Conduct of Information Systems, Statistics and Information at the MoH.”</w:t>
              </w:r>
            </w:hyperlink>
          </w:p>
        </w:tc>
      </w:tr>
      <w:tr w:rsidR="005F1B06" w:rsidRPr="0098195D" w14:paraId="206013E4" w14:textId="77777777" w:rsidTr="00C4770F">
        <w:tc>
          <w:tcPr>
            <w:tcW w:w="1824" w:type="dxa"/>
            <w:tcBorders>
              <w:left w:val="nil"/>
              <w:right w:val="nil"/>
            </w:tcBorders>
            <w:shd w:val="clear" w:color="auto" w:fill="D3DFEE"/>
          </w:tcPr>
          <w:p w14:paraId="01CAFD79"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Strategy</w:t>
            </w:r>
          </w:p>
        </w:tc>
        <w:tc>
          <w:tcPr>
            <w:tcW w:w="2393" w:type="dxa"/>
            <w:tcBorders>
              <w:left w:val="nil"/>
              <w:right w:val="nil"/>
            </w:tcBorders>
            <w:shd w:val="clear" w:color="auto" w:fill="D3DFEE"/>
          </w:tcPr>
          <w:p w14:paraId="636ABD28"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No. 297-2012/MINSA</w:t>
            </w:r>
          </w:p>
        </w:tc>
        <w:tc>
          <w:tcPr>
            <w:tcW w:w="5359" w:type="dxa"/>
            <w:tcBorders>
              <w:left w:val="nil"/>
              <w:right w:val="nil"/>
            </w:tcBorders>
            <w:shd w:val="clear" w:color="auto" w:fill="D3DFEE"/>
          </w:tcPr>
          <w:p w14:paraId="10E79C33" w14:textId="77777777" w:rsidR="005F1B06" w:rsidRPr="0098195D" w:rsidRDefault="00BB0ADA" w:rsidP="00C4770F">
            <w:pPr>
              <w:rPr>
                <w:rFonts w:ascii="Cambria" w:hAnsi="Cambria"/>
                <w:color w:val="365F91"/>
                <w:sz w:val="22"/>
                <w:szCs w:val="22"/>
              </w:rPr>
            </w:pPr>
            <w:hyperlink r:id="rId26" w:history="1">
              <w:r w:rsidR="005F1B06" w:rsidRPr="0098195D">
                <w:rPr>
                  <w:rStyle w:val="Hyperlink"/>
                  <w:rFonts w:ascii="Cambria" w:hAnsi="Cambria"/>
                  <w:sz w:val="22"/>
                  <w:szCs w:val="22"/>
                </w:rPr>
                <w:t>Technical document approves establishment of the conceptual framework for strengthening health information systems (HIS) and ICT in the MoH.</w:t>
              </w:r>
            </w:hyperlink>
          </w:p>
        </w:tc>
      </w:tr>
      <w:tr w:rsidR="005F1B06" w:rsidRPr="0098195D" w14:paraId="462654BE" w14:textId="77777777" w:rsidTr="00C4770F">
        <w:tc>
          <w:tcPr>
            <w:tcW w:w="1824" w:type="dxa"/>
          </w:tcPr>
          <w:p w14:paraId="20E7D09F"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Strategy</w:t>
            </w:r>
          </w:p>
        </w:tc>
        <w:tc>
          <w:tcPr>
            <w:tcW w:w="2393" w:type="dxa"/>
          </w:tcPr>
          <w:p w14:paraId="783B1F7A"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365-2008/MINSA</w:t>
            </w:r>
          </w:p>
        </w:tc>
        <w:tc>
          <w:tcPr>
            <w:tcW w:w="5359" w:type="dxa"/>
          </w:tcPr>
          <w:p w14:paraId="0F33829C"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Requires that telehealth must be addressed in the following areas of development: provision of health or telemedicine; health care management; and information, education, and communication to the public and health care personnel</w:t>
            </w:r>
          </w:p>
        </w:tc>
      </w:tr>
      <w:tr w:rsidR="005F1B06" w:rsidRPr="0098195D" w14:paraId="7E156E30" w14:textId="77777777" w:rsidTr="00C4770F">
        <w:tc>
          <w:tcPr>
            <w:tcW w:w="1824" w:type="dxa"/>
            <w:tcBorders>
              <w:left w:val="nil"/>
              <w:right w:val="nil"/>
            </w:tcBorders>
            <w:shd w:val="clear" w:color="auto" w:fill="D3DFEE"/>
          </w:tcPr>
          <w:p w14:paraId="478DCE19"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Infrastructure</w:t>
            </w:r>
          </w:p>
        </w:tc>
        <w:tc>
          <w:tcPr>
            <w:tcW w:w="2393" w:type="dxa"/>
            <w:tcBorders>
              <w:left w:val="nil"/>
              <w:right w:val="nil"/>
            </w:tcBorders>
            <w:shd w:val="clear" w:color="auto" w:fill="D3DFEE"/>
          </w:tcPr>
          <w:p w14:paraId="26285D17"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Law No. 29904 and Supreme Decree 014-2013-MTC</w:t>
            </w:r>
          </w:p>
        </w:tc>
        <w:tc>
          <w:tcPr>
            <w:tcW w:w="5359" w:type="dxa"/>
            <w:tcBorders>
              <w:left w:val="nil"/>
              <w:right w:val="nil"/>
            </w:tcBorders>
            <w:shd w:val="clear" w:color="auto" w:fill="D3DFEE"/>
          </w:tcPr>
          <w:p w14:paraId="7588042F"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Act promoting broadband and infrastructure for national fiber optics with enforcement through Supreme Decree 014-2013-MTC establishes a national access network “Red Nacional del Estado Peruano (REDNACE).”</w:t>
            </w:r>
          </w:p>
        </w:tc>
      </w:tr>
      <w:tr w:rsidR="005F1B06" w:rsidRPr="0098195D" w14:paraId="74C9B29F" w14:textId="77777777" w:rsidTr="00C4770F">
        <w:tc>
          <w:tcPr>
            <w:tcW w:w="1824" w:type="dxa"/>
          </w:tcPr>
          <w:p w14:paraId="17313607"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Systems</w:t>
            </w:r>
          </w:p>
        </w:tc>
        <w:tc>
          <w:tcPr>
            <w:tcW w:w="2393" w:type="dxa"/>
          </w:tcPr>
          <w:p w14:paraId="55F2777E"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Management Resolution No. 001-2012/GOR/RENIEC</w:t>
            </w:r>
          </w:p>
        </w:tc>
        <w:tc>
          <w:tcPr>
            <w:tcW w:w="5359" w:type="dxa"/>
          </w:tcPr>
          <w:p w14:paraId="51DF0B84" w14:textId="77777777" w:rsidR="005F1B06" w:rsidRPr="0098195D" w:rsidRDefault="00BB0ADA" w:rsidP="00C4770F">
            <w:pPr>
              <w:rPr>
                <w:rFonts w:ascii="Cambria" w:hAnsi="Cambria"/>
                <w:color w:val="365F91"/>
                <w:sz w:val="22"/>
                <w:szCs w:val="22"/>
              </w:rPr>
            </w:pPr>
            <w:hyperlink r:id="rId27" w:history="1">
              <w:r w:rsidR="005F1B06" w:rsidRPr="0098195D">
                <w:rPr>
                  <w:rStyle w:val="Hyperlink"/>
                  <w:rFonts w:ascii="Cambria" w:hAnsi="Cambria"/>
                  <w:sz w:val="22"/>
                  <w:szCs w:val="22"/>
                </w:rPr>
                <w:t>Approval of the live birth form for manual and online transmission</w:t>
              </w:r>
            </w:hyperlink>
          </w:p>
        </w:tc>
      </w:tr>
      <w:tr w:rsidR="005F1B06" w:rsidRPr="0098195D" w14:paraId="490D5B1F" w14:textId="77777777" w:rsidTr="00C4770F">
        <w:tc>
          <w:tcPr>
            <w:tcW w:w="1824" w:type="dxa"/>
            <w:tcBorders>
              <w:left w:val="nil"/>
              <w:right w:val="nil"/>
            </w:tcBorders>
            <w:shd w:val="clear" w:color="auto" w:fill="D3DFEE"/>
          </w:tcPr>
          <w:p w14:paraId="78D67EA3"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Systems</w:t>
            </w:r>
          </w:p>
        </w:tc>
        <w:tc>
          <w:tcPr>
            <w:tcW w:w="2393" w:type="dxa"/>
            <w:tcBorders>
              <w:left w:val="nil"/>
              <w:right w:val="nil"/>
            </w:tcBorders>
            <w:shd w:val="clear" w:color="auto" w:fill="D3DFEE"/>
          </w:tcPr>
          <w:p w14:paraId="57C51D3D"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Law No. 30024</w:t>
            </w:r>
          </w:p>
        </w:tc>
        <w:tc>
          <w:tcPr>
            <w:tcW w:w="5359" w:type="dxa"/>
            <w:tcBorders>
              <w:left w:val="nil"/>
              <w:right w:val="nil"/>
            </w:tcBorders>
            <w:shd w:val="clear" w:color="auto" w:fill="D3DFEE"/>
          </w:tcPr>
          <w:p w14:paraId="3FFF87E6" w14:textId="77777777" w:rsidR="005F1B06" w:rsidRPr="0098195D" w:rsidRDefault="00BB0ADA" w:rsidP="00C4770F">
            <w:pPr>
              <w:rPr>
                <w:rFonts w:ascii="Cambria" w:hAnsi="Cambria"/>
                <w:color w:val="365F91"/>
                <w:sz w:val="22"/>
                <w:szCs w:val="22"/>
              </w:rPr>
            </w:pPr>
            <w:hyperlink r:id="rId28" w:history="1">
              <w:r w:rsidR="005F1B06" w:rsidRPr="0098195D">
                <w:rPr>
                  <w:rStyle w:val="Hyperlink"/>
                  <w:rFonts w:ascii="Cambria" w:hAnsi="Cambria"/>
                  <w:sz w:val="22"/>
                  <w:szCs w:val="22"/>
                </w:rPr>
                <w:t>Act establishing the National Register of Electronic Medical Records</w:t>
              </w:r>
            </w:hyperlink>
          </w:p>
        </w:tc>
      </w:tr>
      <w:tr w:rsidR="005F1B06" w:rsidRPr="0098195D" w14:paraId="6ADB12E1" w14:textId="77777777" w:rsidTr="00C4770F">
        <w:tc>
          <w:tcPr>
            <w:tcW w:w="1824" w:type="dxa"/>
          </w:tcPr>
          <w:p w14:paraId="206D8290"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Systems</w:t>
            </w:r>
          </w:p>
        </w:tc>
        <w:tc>
          <w:tcPr>
            <w:tcW w:w="2393" w:type="dxa"/>
          </w:tcPr>
          <w:p w14:paraId="2436A109"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No. 148-2012/MINSA</w:t>
            </w:r>
          </w:p>
        </w:tc>
        <w:tc>
          <w:tcPr>
            <w:tcW w:w="5359" w:type="dxa"/>
          </w:tcPr>
          <w:p w14:paraId="5ECC9E20" w14:textId="77777777" w:rsidR="005F1B06" w:rsidRPr="0098195D" w:rsidRDefault="00BB0ADA" w:rsidP="00C4770F">
            <w:pPr>
              <w:rPr>
                <w:rFonts w:ascii="Cambria" w:hAnsi="Cambria"/>
                <w:color w:val="365F91"/>
                <w:sz w:val="22"/>
                <w:szCs w:val="22"/>
              </w:rPr>
            </w:pPr>
            <w:hyperlink r:id="rId29" w:history="1">
              <w:r w:rsidR="005F1B06" w:rsidRPr="0098195D">
                <w:rPr>
                  <w:rStyle w:val="Hyperlink"/>
                  <w:rFonts w:ascii="Cambria" w:hAnsi="Cambria"/>
                  <w:sz w:val="22"/>
                  <w:szCs w:val="22"/>
                </w:rPr>
                <w:t>Approval of Ministerial Directive No. 190-MINSA/OGEI</w:t>
              </w:r>
              <w:r w:rsidR="005F1B06" w:rsidRPr="0098195D">
                <w:rPr>
                  <w:rStyle w:val="FootnoteReference"/>
                  <w:rFonts w:ascii="Cambria" w:hAnsi="Cambria"/>
                  <w:color w:val="0000FF"/>
                  <w:sz w:val="22"/>
                  <w:szCs w:val="22"/>
                  <w:u w:val="single"/>
                </w:rPr>
                <w:footnoteReference w:id="6"/>
              </w:r>
              <w:r w:rsidR="005F1B06" w:rsidRPr="0098195D">
                <w:rPr>
                  <w:rStyle w:val="Hyperlink"/>
                  <w:rFonts w:ascii="Cambria" w:hAnsi="Cambria"/>
                  <w:sz w:val="22"/>
                  <w:szCs w:val="22"/>
                </w:rPr>
                <w:t>/V-01 – Procedure for the registration of health facilities in the country</w:t>
              </w:r>
            </w:hyperlink>
            <w:r w:rsidR="005F1B06" w:rsidRPr="0098195D">
              <w:rPr>
                <w:rFonts w:ascii="Cambria" w:hAnsi="Cambria"/>
                <w:color w:val="365F91"/>
                <w:sz w:val="22"/>
                <w:szCs w:val="22"/>
              </w:rPr>
              <w:t xml:space="preserve"> </w:t>
            </w:r>
          </w:p>
        </w:tc>
      </w:tr>
      <w:tr w:rsidR="005F1B06" w:rsidRPr="0098195D" w14:paraId="4FA21F37" w14:textId="77777777" w:rsidTr="00C4770F">
        <w:tc>
          <w:tcPr>
            <w:tcW w:w="1824" w:type="dxa"/>
            <w:tcBorders>
              <w:left w:val="nil"/>
              <w:right w:val="nil"/>
            </w:tcBorders>
            <w:shd w:val="clear" w:color="auto" w:fill="D3DFEE"/>
          </w:tcPr>
          <w:p w14:paraId="71703919"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Standards</w:t>
            </w:r>
          </w:p>
        </w:tc>
        <w:tc>
          <w:tcPr>
            <w:tcW w:w="2393" w:type="dxa"/>
            <w:tcBorders>
              <w:left w:val="nil"/>
              <w:right w:val="nil"/>
            </w:tcBorders>
            <w:shd w:val="clear" w:color="auto" w:fill="D3DFEE"/>
          </w:tcPr>
          <w:p w14:paraId="794B5B8E"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576-2011/MINSA</w:t>
            </w:r>
          </w:p>
        </w:tc>
        <w:tc>
          <w:tcPr>
            <w:tcW w:w="5359" w:type="dxa"/>
            <w:tcBorders>
              <w:left w:val="nil"/>
              <w:right w:val="nil"/>
            </w:tcBorders>
            <w:shd w:val="clear" w:color="auto" w:fill="D3DFEE"/>
          </w:tcPr>
          <w:p w14:paraId="5B0450F1"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Approved Administrative Directive 183 which sets specifications for standardization of electronic medical records</w:t>
            </w:r>
          </w:p>
        </w:tc>
      </w:tr>
      <w:tr w:rsidR="005F1B06" w:rsidRPr="0098195D" w14:paraId="0EE11AAF" w14:textId="77777777" w:rsidTr="00C4770F">
        <w:tc>
          <w:tcPr>
            <w:tcW w:w="1824" w:type="dxa"/>
          </w:tcPr>
          <w:p w14:paraId="19946FE1"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Standards</w:t>
            </w:r>
          </w:p>
        </w:tc>
        <w:tc>
          <w:tcPr>
            <w:tcW w:w="2393" w:type="dxa"/>
          </w:tcPr>
          <w:p w14:paraId="6E94B79E"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Law No. 27269</w:t>
            </w:r>
          </w:p>
        </w:tc>
        <w:tc>
          <w:tcPr>
            <w:tcW w:w="5359" w:type="dxa"/>
          </w:tcPr>
          <w:p w14:paraId="5A552108" w14:textId="77777777" w:rsidR="005F1B06" w:rsidRPr="0098195D" w:rsidRDefault="00BB0ADA" w:rsidP="00C4770F">
            <w:pPr>
              <w:rPr>
                <w:rFonts w:ascii="Cambria" w:hAnsi="Cambria"/>
                <w:color w:val="365F91"/>
                <w:sz w:val="22"/>
                <w:szCs w:val="22"/>
              </w:rPr>
            </w:pPr>
            <w:hyperlink r:id="rId30" w:history="1">
              <w:r w:rsidR="005F1B06" w:rsidRPr="0098195D">
                <w:rPr>
                  <w:rStyle w:val="Hyperlink"/>
                  <w:rFonts w:ascii="Cambria" w:hAnsi="Cambria"/>
                  <w:sz w:val="22"/>
                  <w:szCs w:val="22"/>
                </w:rPr>
                <w:t>Law on digital signatures and certificates</w:t>
              </w:r>
            </w:hyperlink>
          </w:p>
        </w:tc>
      </w:tr>
      <w:tr w:rsidR="005F1B06" w:rsidRPr="0098195D" w14:paraId="2A5A1DE6" w14:textId="77777777" w:rsidTr="00C4770F">
        <w:tc>
          <w:tcPr>
            <w:tcW w:w="1824" w:type="dxa"/>
            <w:tcBorders>
              <w:left w:val="nil"/>
              <w:right w:val="nil"/>
            </w:tcBorders>
            <w:shd w:val="clear" w:color="auto" w:fill="D3DFEE"/>
          </w:tcPr>
          <w:p w14:paraId="6CC958D4"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Standards</w:t>
            </w:r>
          </w:p>
        </w:tc>
        <w:tc>
          <w:tcPr>
            <w:tcW w:w="2393" w:type="dxa"/>
            <w:tcBorders>
              <w:left w:val="nil"/>
              <w:right w:val="nil"/>
            </w:tcBorders>
            <w:shd w:val="clear" w:color="auto" w:fill="D3DFEE"/>
          </w:tcPr>
          <w:p w14:paraId="0361B222"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Ministerial Resolution No. 553-2002</w:t>
            </w:r>
          </w:p>
        </w:tc>
        <w:tc>
          <w:tcPr>
            <w:tcW w:w="5359" w:type="dxa"/>
            <w:tcBorders>
              <w:left w:val="nil"/>
              <w:right w:val="nil"/>
            </w:tcBorders>
            <w:shd w:val="clear" w:color="auto" w:fill="D3DFEE"/>
          </w:tcPr>
          <w:p w14:paraId="55FB723B" w14:textId="77777777" w:rsidR="005F1B06" w:rsidRPr="0098195D" w:rsidRDefault="00BB0ADA" w:rsidP="00C4770F">
            <w:pPr>
              <w:rPr>
                <w:rFonts w:ascii="Cambria" w:hAnsi="Cambria"/>
                <w:color w:val="365F91"/>
                <w:sz w:val="22"/>
                <w:szCs w:val="22"/>
              </w:rPr>
            </w:pPr>
            <w:hyperlink r:id="rId31" w:history="1">
              <w:r w:rsidR="005F1B06" w:rsidRPr="0098195D">
                <w:rPr>
                  <w:rStyle w:val="Hyperlink"/>
                  <w:rFonts w:ascii="Cambria" w:hAnsi="Cambria"/>
                  <w:sz w:val="22"/>
                  <w:szCs w:val="22"/>
                </w:rPr>
                <w:t>Formalizes the use of ICD-10 in all health facilities in the nation, and instructs the OGEI to implement and train staff in its use</w:t>
              </w:r>
            </w:hyperlink>
          </w:p>
        </w:tc>
      </w:tr>
      <w:tr w:rsidR="005F1B06" w:rsidRPr="0098195D" w14:paraId="789B2EC2" w14:textId="77777777" w:rsidTr="00C4770F">
        <w:tc>
          <w:tcPr>
            <w:tcW w:w="1824" w:type="dxa"/>
          </w:tcPr>
          <w:p w14:paraId="5E39B993"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Standards</w:t>
            </w:r>
          </w:p>
        </w:tc>
        <w:tc>
          <w:tcPr>
            <w:tcW w:w="2393" w:type="dxa"/>
          </w:tcPr>
          <w:p w14:paraId="67911F02"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Health Technical Standard No. 067/MINSA/PHD-V.01</w:t>
            </w:r>
          </w:p>
        </w:tc>
        <w:tc>
          <w:tcPr>
            <w:tcW w:w="5359" w:type="dxa"/>
          </w:tcPr>
          <w:p w14:paraId="455F6B10" w14:textId="77777777" w:rsidR="005F1B06" w:rsidRPr="0098195D" w:rsidRDefault="00BB0ADA" w:rsidP="00C4770F">
            <w:pPr>
              <w:rPr>
                <w:rFonts w:ascii="Cambria" w:hAnsi="Cambria"/>
                <w:color w:val="365F91"/>
                <w:sz w:val="22"/>
                <w:szCs w:val="22"/>
              </w:rPr>
            </w:pPr>
            <w:hyperlink r:id="rId32" w:history="1">
              <w:r w:rsidR="005F1B06" w:rsidRPr="0098195D">
                <w:rPr>
                  <w:rStyle w:val="Hyperlink"/>
                  <w:rFonts w:ascii="Cambria" w:hAnsi="Cambria"/>
                  <w:sz w:val="22"/>
                  <w:szCs w:val="22"/>
                </w:rPr>
                <w:t>Health standards in telehealth</w:t>
              </w:r>
            </w:hyperlink>
          </w:p>
        </w:tc>
      </w:tr>
      <w:tr w:rsidR="005F1B06" w:rsidRPr="0098195D" w14:paraId="500BB022" w14:textId="77777777" w:rsidTr="00C4770F">
        <w:tc>
          <w:tcPr>
            <w:tcW w:w="1824" w:type="dxa"/>
            <w:tcBorders>
              <w:left w:val="nil"/>
              <w:right w:val="nil"/>
            </w:tcBorders>
            <w:shd w:val="clear" w:color="auto" w:fill="D3DFEE"/>
          </w:tcPr>
          <w:p w14:paraId="745DC288"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Privacy &amp; Security</w:t>
            </w:r>
          </w:p>
        </w:tc>
        <w:tc>
          <w:tcPr>
            <w:tcW w:w="2393" w:type="dxa"/>
            <w:tcBorders>
              <w:left w:val="nil"/>
              <w:right w:val="nil"/>
            </w:tcBorders>
            <w:shd w:val="clear" w:color="auto" w:fill="D3DFEE"/>
          </w:tcPr>
          <w:p w14:paraId="4BFCD790"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Law 29733 and Supreme Decree 003-2013-JUS</w:t>
            </w:r>
          </w:p>
        </w:tc>
        <w:tc>
          <w:tcPr>
            <w:tcW w:w="5359" w:type="dxa"/>
            <w:tcBorders>
              <w:left w:val="nil"/>
              <w:right w:val="nil"/>
            </w:tcBorders>
            <w:shd w:val="clear" w:color="auto" w:fill="D3DFEE"/>
          </w:tcPr>
          <w:p w14:paraId="3DE68867"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Law on Protection of Personal Data and subsequent regulations</w:t>
            </w:r>
          </w:p>
        </w:tc>
      </w:tr>
      <w:tr w:rsidR="005F1B06" w:rsidRPr="0098195D" w14:paraId="4404F50C" w14:textId="77777777" w:rsidTr="00C4770F">
        <w:tc>
          <w:tcPr>
            <w:tcW w:w="1824" w:type="dxa"/>
          </w:tcPr>
          <w:p w14:paraId="6B70E496"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Privacy &amp; Security</w:t>
            </w:r>
          </w:p>
        </w:tc>
        <w:tc>
          <w:tcPr>
            <w:tcW w:w="2393" w:type="dxa"/>
          </w:tcPr>
          <w:p w14:paraId="64FE3F55"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Directorial Resolution 019-2013-JUS/DGPDP</w:t>
            </w:r>
          </w:p>
        </w:tc>
        <w:tc>
          <w:tcPr>
            <w:tcW w:w="5359" w:type="dxa"/>
          </w:tcPr>
          <w:p w14:paraId="08D08EDA"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Policy for Information Security of Databases – the conditions, requirements, and technical measures for databases</w:t>
            </w:r>
          </w:p>
        </w:tc>
      </w:tr>
    </w:tbl>
    <w:p w14:paraId="0D399B83" w14:textId="27BC8C37" w:rsidR="005F1B06" w:rsidRPr="00060787" w:rsidRDefault="005F1B06" w:rsidP="005F1B06">
      <w:pPr>
        <w:rPr>
          <w:rFonts w:ascii="Cambria" w:hAnsi="Cambria"/>
          <w:sz w:val="20"/>
          <w:szCs w:val="20"/>
        </w:rPr>
      </w:pPr>
      <w:r>
        <w:rPr>
          <w:rFonts w:ascii="Cambria" w:hAnsi="Cambria"/>
          <w:sz w:val="20"/>
          <w:szCs w:val="20"/>
        </w:rPr>
        <w:t>Table adapted from Curioso. Rev PAHO 2014 [</w:t>
      </w:r>
      <w:r w:rsidR="008A60FF">
        <w:rPr>
          <w:rFonts w:ascii="Cambria" w:hAnsi="Cambria"/>
          <w:sz w:val="20"/>
          <w:szCs w:val="20"/>
        </w:rPr>
        <w:t>9</w:t>
      </w:r>
      <w:r>
        <w:rPr>
          <w:rFonts w:ascii="Cambria" w:hAnsi="Cambria"/>
          <w:sz w:val="20"/>
          <w:szCs w:val="20"/>
        </w:rPr>
        <w:t>] and Curioso, Rev Peru Med Exp Salud Publica 2015 [</w:t>
      </w:r>
      <w:r w:rsidR="008A60FF">
        <w:rPr>
          <w:rFonts w:ascii="Cambria" w:hAnsi="Cambria"/>
          <w:sz w:val="20"/>
          <w:szCs w:val="20"/>
        </w:rPr>
        <w:t>10</w:t>
      </w:r>
      <w:r>
        <w:rPr>
          <w:rFonts w:ascii="Cambria" w:hAnsi="Cambria"/>
          <w:sz w:val="20"/>
          <w:szCs w:val="20"/>
        </w:rPr>
        <w:t>].</w:t>
      </w:r>
    </w:p>
    <w:p w14:paraId="760FB55F" w14:textId="77777777" w:rsidR="005F1B06" w:rsidRDefault="005F1B06" w:rsidP="005F1B06">
      <w:pPr>
        <w:rPr>
          <w:rFonts w:ascii="Cambria" w:hAnsi="Cambria"/>
        </w:rPr>
      </w:pPr>
    </w:p>
    <w:p w14:paraId="53ADF3F9" w14:textId="20A28F1C" w:rsidR="005F1B06" w:rsidRDefault="005F1B06" w:rsidP="005F1B06">
      <w:pPr>
        <w:rPr>
          <w:rFonts w:ascii="Cambria" w:hAnsi="Cambria"/>
        </w:rPr>
      </w:pPr>
      <w:r>
        <w:rPr>
          <w:rFonts w:ascii="Cambria" w:hAnsi="Cambria"/>
        </w:rPr>
        <w:t>The policies for eHealth and ICT have provided the infrastructural and legal foundations for additional policies addressing HIE and interoperability, detailed in Table 3.</w:t>
      </w:r>
    </w:p>
    <w:p w14:paraId="5375780A" w14:textId="77777777" w:rsidR="005F1B06" w:rsidRDefault="005F1B06" w:rsidP="005F1B06">
      <w:pPr>
        <w:rPr>
          <w:rFonts w:ascii="Cambria" w:hAnsi="Cambria"/>
        </w:rPr>
      </w:pPr>
    </w:p>
    <w:p w14:paraId="5C8AF6A4" w14:textId="42F2F830" w:rsidR="005F1B06" w:rsidRDefault="005F1B06" w:rsidP="005F1B06">
      <w:pPr>
        <w:spacing w:after="120"/>
        <w:rPr>
          <w:rFonts w:ascii="Cambria" w:hAnsi="Cambria"/>
          <w:b/>
        </w:rPr>
      </w:pPr>
      <w:r w:rsidRPr="00060787">
        <w:rPr>
          <w:rFonts w:ascii="Cambria" w:hAnsi="Cambria"/>
          <w:b/>
        </w:rPr>
        <w:t>Table</w:t>
      </w:r>
      <w:r>
        <w:rPr>
          <w:rFonts w:ascii="Cambria" w:hAnsi="Cambria"/>
          <w:b/>
        </w:rPr>
        <w:t xml:space="preserve"> 3</w:t>
      </w:r>
      <w:r w:rsidRPr="00060787">
        <w:rPr>
          <w:rFonts w:ascii="Cambria" w:hAnsi="Cambria"/>
          <w:b/>
        </w:rPr>
        <w:t xml:space="preserve">. Legal </w:t>
      </w:r>
      <w:r w:rsidR="00AC1015">
        <w:rPr>
          <w:rFonts w:ascii="Cambria" w:hAnsi="Cambria"/>
          <w:b/>
        </w:rPr>
        <w:t>P</w:t>
      </w:r>
      <w:r w:rsidRPr="00060787">
        <w:rPr>
          <w:rFonts w:ascii="Cambria" w:hAnsi="Cambria"/>
          <w:b/>
        </w:rPr>
        <w:t xml:space="preserve">olicies for </w:t>
      </w:r>
      <w:r w:rsidR="00AC1015">
        <w:rPr>
          <w:rFonts w:ascii="Cambria" w:hAnsi="Cambria"/>
          <w:b/>
        </w:rPr>
        <w:t>H</w:t>
      </w:r>
      <w:r w:rsidRPr="00060787">
        <w:rPr>
          <w:rFonts w:ascii="Cambria" w:hAnsi="Cambria"/>
          <w:b/>
        </w:rPr>
        <w:t xml:space="preserve">ealth </w:t>
      </w:r>
      <w:r w:rsidR="00AC1015">
        <w:rPr>
          <w:rFonts w:ascii="Cambria" w:hAnsi="Cambria"/>
          <w:b/>
        </w:rPr>
        <w:t>I</w:t>
      </w:r>
      <w:r w:rsidRPr="00060787">
        <w:rPr>
          <w:rFonts w:ascii="Cambria" w:hAnsi="Cambria"/>
          <w:b/>
        </w:rPr>
        <w:t xml:space="preserve">nformation </w:t>
      </w:r>
      <w:r w:rsidR="00AC1015">
        <w:rPr>
          <w:rFonts w:ascii="Cambria" w:hAnsi="Cambria"/>
          <w:b/>
        </w:rPr>
        <w:t>E</w:t>
      </w:r>
      <w:r w:rsidRPr="00060787">
        <w:rPr>
          <w:rFonts w:ascii="Cambria" w:hAnsi="Cambria"/>
          <w:b/>
        </w:rPr>
        <w:t xml:space="preserve">xchange and </w:t>
      </w:r>
      <w:r w:rsidR="00AC1015">
        <w:rPr>
          <w:rFonts w:ascii="Cambria" w:hAnsi="Cambria"/>
          <w:b/>
        </w:rPr>
        <w:t>I</w:t>
      </w:r>
      <w:r w:rsidRPr="00060787">
        <w:rPr>
          <w:rFonts w:ascii="Cambria" w:hAnsi="Cambria"/>
          <w:b/>
        </w:rPr>
        <w:t xml:space="preserve">nteroperability in </w:t>
      </w:r>
      <w:r w:rsidR="009F7CCD">
        <w:rPr>
          <w:rFonts w:ascii="Cambria" w:hAnsi="Cambria"/>
          <w:b/>
        </w:rPr>
        <w:t>Peru</w:t>
      </w:r>
    </w:p>
    <w:tbl>
      <w:tblPr>
        <w:tblW w:w="0" w:type="auto"/>
        <w:tblBorders>
          <w:top w:val="single" w:sz="8" w:space="0" w:color="4F81BD"/>
          <w:bottom w:val="single" w:sz="8" w:space="0" w:color="4F81BD"/>
        </w:tblBorders>
        <w:tblLook w:val="04A0" w:firstRow="1" w:lastRow="0" w:firstColumn="1" w:lastColumn="0" w:noHBand="0" w:noVBand="1"/>
      </w:tblPr>
      <w:tblGrid>
        <w:gridCol w:w="1908"/>
        <w:gridCol w:w="4590"/>
        <w:gridCol w:w="3078"/>
      </w:tblGrid>
      <w:tr w:rsidR="005F1B06" w:rsidRPr="0098195D" w14:paraId="21E52DF2" w14:textId="77777777" w:rsidTr="00C4770F">
        <w:trPr>
          <w:tblHeader/>
        </w:trPr>
        <w:tc>
          <w:tcPr>
            <w:tcW w:w="1908" w:type="dxa"/>
            <w:tcBorders>
              <w:top w:val="single" w:sz="8" w:space="0" w:color="4F81BD"/>
              <w:left w:val="nil"/>
              <w:bottom w:val="single" w:sz="8" w:space="0" w:color="4F81BD"/>
              <w:right w:val="nil"/>
            </w:tcBorders>
          </w:tcPr>
          <w:p w14:paraId="5A24D7B4"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Legal Document</w:t>
            </w:r>
          </w:p>
        </w:tc>
        <w:tc>
          <w:tcPr>
            <w:tcW w:w="4590" w:type="dxa"/>
            <w:tcBorders>
              <w:top w:val="single" w:sz="8" w:space="0" w:color="4F81BD"/>
              <w:left w:val="nil"/>
              <w:bottom w:val="single" w:sz="8" w:space="0" w:color="4F81BD"/>
              <w:right w:val="nil"/>
            </w:tcBorders>
          </w:tcPr>
          <w:p w14:paraId="52740455"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Description (Translated from Spanish using Google Translate)</w:t>
            </w:r>
          </w:p>
        </w:tc>
        <w:tc>
          <w:tcPr>
            <w:tcW w:w="3078" w:type="dxa"/>
            <w:tcBorders>
              <w:top w:val="single" w:sz="8" w:space="0" w:color="4F81BD"/>
              <w:left w:val="nil"/>
              <w:bottom w:val="single" w:sz="8" w:space="0" w:color="4F81BD"/>
              <w:right w:val="nil"/>
            </w:tcBorders>
          </w:tcPr>
          <w:p w14:paraId="47D718F4"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Notes</w:t>
            </w:r>
          </w:p>
        </w:tc>
      </w:tr>
      <w:tr w:rsidR="005F1B06" w:rsidRPr="0098195D" w14:paraId="0845A993" w14:textId="77777777" w:rsidTr="00C4770F">
        <w:tc>
          <w:tcPr>
            <w:tcW w:w="1908" w:type="dxa"/>
            <w:tcBorders>
              <w:left w:val="nil"/>
              <w:right w:val="nil"/>
            </w:tcBorders>
            <w:shd w:val="clear" w:color="auto" w:fill="D3DFEE"/>
          </w:tcPr>
          <w:p w14:paraId="70206691"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Ministerial Resolution No. 381-2008-PCM</w:t>
            </w:r>
          </w:p>
        </w:tc>
        <w:tc>
          <w:tcPr>
            <w:tcW w:w="4590" w:type="dxa"/>
            <w:tcBorders>
              <w:left w:val="nil"/>
              <w:right w:val="nil"/>
            </w:tcBorders>
            <w:shd w:val="clear" w:color="auto" w:fill="D3DFEE"/>
          </w:tcPr>
          <w:p w14:paraId="260BB7B9" w14:textId="5BC2C765" w:rsidR="005F1B06" w:rsidRPr="0098195D" w:rsidRDefault="005F1B06" w:rsidP="00C4770F">
            <w:pPr>
              <w:rPr>
                <w:rFonts w:ascii="Cambria" w:hAnsi="Cambria"/>
                <w:color w:val="365F91"/>
                <w:sz w:val="22"/>
                <w:szCs w:val="22"/>
              </w:rPr>
            </w:pPr>
            <w:r w:rsidRPr="0098195D">
              <w:rPr>
                <w:rFonts w:ascii="Cambria" w:hAnsi="Cambria"/>
                <w:color w:val="365F91"/>
                <w:sz w:val="22"/>
                <w:szCs w:val="22"/>
              </w:rPr>
              <w:t xml:space="preserve">Standards and Specifications for Interoperability in </w:t>
            </w:r>
            <w:r w:rsidR="009F7CCD">
              <w:rPr>
                <w:rFonts w:ascii="Cambria" w:hAnsi="Cambria"/>
                <w:color w:val="365F91"/>
                <w:sz w:val="22"/>
                <w:szCs w:val="22"/>
              </w:rPr>
              <w:t>Peru</w:t>
            </w:r>
          </w:p>
        </w:tc>
        <w:tc>
          <w:tcPr>
            <w:tcW w:w="3078" w:type="dxa"/>
            <w:tcBorders>
              <w:left w:val="nil"/>
              <w:right w:val="nil"/>
            </w:tcBorders>
            <w:shd w:val="clear" w:color="auto" w:fill="D3DFEE"/>
          </w:tcPr>
          <w:p w14:paraId="2A93EF07"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Adopts open standards as well as international standards (ISO).</w:t>
            </w:r>
          </w:p>
        </w:tc>
      </w:tr>
      <w:tr w:rsidR="005F1B06" w:rsidRPr="0098195D" w14:paraId="058592DA" w14:textId="77777777" w:rsidTr="00C4770F">
        <w:tc>
          <w:tcPr>
            <w:tcW w:w="1908" w:type="dxa"/>
          </w:tcPr>
          <w:p w14:paraId="7387318F"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Supreme Decree No. 083-2011-PCM</w:t>
            </w:r>
          </w:p>
        </w:tc>
        <w:tc>
          <w:tcPr>
            <w:tcW w:w="4590" w:type="dxa"/>
          </w:tcPr>
          <w:p w14:paraId="24852DE4" w14:textId="77777777" w:rsidR="005F1B06" w:rsidRPr="0098195D" w:rsidRDefault="00BB0ADA" w:rsidP="00C4770F">
            <w:pPr>
              <w:rPr>
                <w:rFonts w:ascii="Cambria" w:hAnsi="Cambria"/>
                <w:color w:val="365F91"/>
                <w:sz w:val="22"/>
                <w:szCs w:val="22"/>
              </w:rPr>
            </w:pPr>
            <w:hyperlink r:id="rId33" w:history="1">
              <w:r w:rsidR="005F1B06" w:rsidRPr="0098195D">
                <w:rPr>
                  <w:rStyle w:val="Hyperlink"/>
                  <w:rFonts w:ascii="Cambria" w:hAnsi="Cambria"/>
                  <w:sz w:val="22"/>
                  <w:szCs w:val="22"/>
                </w:rPr>
                <w:t>Platform for National Interoperability</w:t>
              </w:r>
            </w:hyperlink>
          </w:p>
        </w:tc>
        <w:tc>
          <w:tcPr>
            <w:tcW w:w="3078" w:type="dxa"/>
          </w:tcPr>
          <w:p w14:paraId="243E4FBC" w14:textId="77777777" w:rsidR="005F1B06" w:rsidRPr="0098195D" w:rsidRDefault="005F1B06" w:rsidP="00C4770F">
            <w:pPr>
              <w:rPr>
                <w:rFonts w:ascii="Cambria" w:hAnsi="Cambria"/>
                <w:color w:val="365F91"/>
                <w:sz w:val="22"/>
                <w:szCs w:val="22"/>
              </w:rPr>
            </w:pPr>
          </w:p>
        </w:tc>
      </w:tr>
      <w:tr w:rsidR="005F1B06" w:rsidRPr="0098195D" w14:paraId="32CFA3B7" w14:textId="77777777" w:rsidTr="00C4770F">
        <w:tc>
          <w:tcPr>
            <w:tcW w:w="1908" w:type="dxa"/>
            <w:tcBorders>
              <w:left w:val="nil"/>
              <w:right w:val="nil"/>
            </w:tcBorders>
            <w:shd w:val="clear" w:color="auto" w:fill="D3DFEE"/>
          </w:tcPr>
          <w:p w14:paraId="705F6778" w14:textId="77777777" w:rsidR="005F1B06" w:rsidRPr="006F628D" w:rsidRDefault="005F1B06" w:rsidP="00C4770F">
            <w:pPr>
              <w:rPr>
                <w:rFonts w:ascii="Cambria" w:hAnsi="Cambria"/>
                <w:b/>
                <w:bCs/>
                <w:color w:val="365F91"/>
                <w:sz w:val="22"/>
                <w:szCs w:val="22"/>
              </w:rPr>
            </w:pPr>
            <w:r w:rsidRPr="006F628D">
              <w:rPr>
                <w:rFonts w:ascii="Cambria" w:hAnsi="Cambria"/>
                <w:b/>
                <w:bCs/>
                <w:color w:val="365F91"/>
                <w:sz w:val="22"/>
                <w:szCs w:val="22"/>
              </w:rPr>
              <w:t>Supreme Decree No. 024-2005</w:t>
            </w:r>
          </w:p>
        </w:tc>
        <w:tc>
          <w:tcPr>
            <w:tcW w:w="4590" w:type="dxa"/>
            <w:tcBorders>
              <w:left w:val="nil"/>
              <w:right w:val="nil"/>
            </w:tcBorders>
            <w:shd w:val="clear" w:color="auto" w:fill="D3DFEE"/>
          </w:tcPr>
          <w:p w14:paraId="1711623A" w14:textId="03F33346" w:rsidR="005F1B06" w:rsidRPr="006F628D" w:rsidRDefault="005F1B06" w:rsidP="00C4770F">
            <w:pPr>
              <w:rPr>
                <w:rFonts w:ascii="Cambria" w:hAnsi="Cambria"/>
                <w:color w:val="365F91"/>
                <w:sz w:val="22"/>
                <w:szCs w:val="22"/>
              </w:rPr>
            </w:pPr>
            <w:r w:rsidRPr="006F628D">
              <w:rPr>
                <w:rFonts w:ascii="Cambria" w:hAnsi="Cambria"/>
                <w:color w:val="365F91"/>
                <w:sz w:val="22"/>
                <w:szCs w:val="22"/>
              </w:rPr>
              <w:t>Approval of data standards for health</w:t>
            </w:r>
            <w:r w:rsidR="008A60FF" w:rsidRPr="006F628D">
              <w:rPr>
                <w:rFonts w:ascii="Cambria" w:hAnsi="Cambria"/>
                <w:color w:val="365F91"/>
                <w:sz w:val="22"/>
                <w:szCs w:val="22"/>
              </w:rPr>
              <w:t>; Describes the technical rules for the standard identification of core data, including an analysis of processes and information flows and identification of health data standards used</w:t>
            </w:r>
          </w:p>
        </w:tc>
        <w:tc>
          <w:tcPr>
            <w:tcW w:w="3078" w:type="dxa"/>
            <w:tcBorders>
              <w:left w:val="nil"/>
              <w:right w:val="nil"/>
            </w:tcBorders>
            <w:shd w:val="clear" w:color="auto" w:fill="D3DFEE"/>
          </w:tcPr>
          <w:p w14:paraId="10F219AC" w14:textId="77777777" w:rsidR="005F1B06" w:rsidRPr="006F628D" w:rsidRDefault="005F1B06" w:rsidP="00C4770F">
            <w:pPr>
              <w:rPr>
                <w:rFonts w:ascii="Cambria" w:hAnsi="Cambria"/>
                <w:color w:val="365F91"/>
                <w:sz w:val="22"/>
                <w:szCs w:val="22"/>
              </w:rPr>
            </w:pPr>
            <w:r w:rsidRPr="006F628D">
              <w:rPr>
                <w:rFonts w:ascii="Cambria" w:hAnsi="Cambria"/>
                <w:color w:val="365F91"/>
                <w:sz w:val="22"/>
                <w:szCs w:val="22"/>
              </w:rPr>
              <w:t>Some systems at the institutional level can share data, but standards are not implemented nationwide.</w:t>
            </w:r>
          </w:p>
        </w:tc>
      </w:tr>
      <w:tr w:rsidR="005F1B06" w:rsidRPr="0098195D" w14:paraId="341608BF" w14:textId="77777777" w:rsidTr="00C4770F">
        <w:tc>
          <w:tcPr>
            <w:tcW w:w="1908" w:type="dxa"/>
          </w:tcPr>
          <w:p w14:paraId="62C88137" w14:textId="77777777" w:rsidR="005F1B06" w:rsidRPr="0098195D" w:rsidRDefault="005F1B06" w:rsidP="00C4770F">
            <w:pPr>
              <w:rPr>
                <w:rFonts w:ascii="Cambria" w:hAnsi="Cambria"/>
                <w:b/>
                <w:bCs/>
                <w:color w:val="365F91"/>
                <w:sz w:val="22"/>
                <w:szCs w:val="22"/>
              </w:rPr>
            </w:pPr>
            <w:r w:rsidRPr="0098195D">
              <w:rPr>
                <w:rFonts w:ascii="Cambria" w:hAnsi="Cambria"/>
                <w:b/>
                <w:bCs/>
                <w:color w:val="365F91"/>
                <w:sz w:val="22"/>
                <w:szCs w:val="22"/>
              </w:rPr>
              <w:t>Ministerial Resolution 537-2011/MINSA</w:t>
            </w:r>
          </w:p>
        </w:tc>
        <w:tc>
          <w:tcPr>
            <w:tcW w:w="4590" w:type="dxa"/>
          </w:tcPr>
          <w:p w14:paraId="4111FDBC" w14:textId="77777777" w:rsidR="005F1B06" w:rsidRPr="0098195D" w:rsidRDefault="005F1B06" w:rsidP="00C4770F">
            <w:pPr>
              <w:rPr>
                <w:rFonts w:ascii="Cambria" w:hAnsi="Cambria"/>
                <w:color w:val="365F91"/>
                <w:sz w:val="22"/>
                <w:szCs w:val="22"/>
              </w:rPr>
            </w:pPr>
            <w:r w:rsidRPr="0098195D">
              <w:rPr>
                <w:rFonts w:ascii="Cambria" w:hAnsi="Cambria"/>
                <w:color w:val="365F91"/>
                <w:sz w:val="22"/>
                <w:szCs w:val="22"/>
              </w:rPr>
              <w:t>Technical interoperability and systems integration through definition of standards, data structures, and protocols for the presentation, gathering, exchange, and transport of data</w:t>
            </w:r>
          </w:p>
        </w:tc>
        <w:tc>
          <w:tcPr>
            <w:tcW w:w="3078" w:type="dxa"/>
          </w:tcPr>
          <w:p w14:paraId="6A3FFE92" w14:textId="723BA825" w:rsidR="005F1B06" w:rsidRPr="0098195D" w:rsidRDefault="009F7CCD" w:rsidP="00C4770F">
            <w:pPr>
              <w:rPr>
                <w:rFonts w:ascii="Cambria" w:hAnsi="Cambria"/>
                <w:color w:val="365F91"/>
                <w:sz w:val="22"/>
                <w:szCs w:val="22"/>
              </w:rPr>
            </w:pPr>
            <w:r>
              <w:rPr>
                <w:rFonts w:ascii="Cambria" w:hAnsi="Cambria"/>
                <w:color w:val="365F91"/>
                <w:sz w:val="22"/>
                <w:szCs w:val="22"/>
              </w:rPr>
              <w:t>Peru</w:t>
            </w:r>
            <w:r w:rsidR="005F1B06" w:rsidRPr="0098195D">
              <w:rPr>
                <w:rFonts w:ascii="Cambria" w:hAnsi="Cambria"/>
                <w:color w:val="365F91"/>
                <w:sz w:val="22"/>
                <w:szCs w:val="22"/>
              </w:rPr>
              <w:t xml:space="preserve"> </w:t>
            </w:r>
            <w:r w:rsidR="005F1B06">
              <w:rPr>
                <w:rFonts w:ascii="Cambria" w:hAnsi="Cambria"/>
                <w:color w:val="365F91"/>
                <w:sz w:val="22"/>
                <w:szCs w:val="22"/>
              </w:rPr>
              <w:t>has been</w:t>
            </w:r>
            <w:r w:rsidR="005F1B06" w:rsidRPr="0098195D">
              <w:rPr>
                <w:rFonts w:ascii="Cambria" w:hAnsi="Cambria"/>
                <w:color w:val="365F91"/>
                <w:sz w:val="22"/>
                <w:szCs w:val="22"/>
              </w:rPr>
              <w:t xml:space="preserve"> exchang</w:t>
            </w:r>
            <w:r w:rsidR="005F1B06">
              <w:rPr>
                <w:rFonts w:ascii="Cambria" w:hAnsi="Cambria"/>
                <w:color w:val="365F91"/>
                <w:sz w:val="22"/>
                <w:szCs w:val="22"/>
              </w:rPr>
              <w:t>ing data</w:t>
            </w:r>
            <w:r w:rsidR="005F1B06" w:rsidRPr="0098195D">
              <w:rPr>
                <w:rFonts w:ascii="Cambria" w:hAnsi="Cambria"/>
                <w:color w:val="365F91"/>
                <w:sz w:val="22"/>
                <w:szCs w:val="22"/>
              </w:rPr>
              <w:t xml:space="preserve"> with private sector clinics through SUSALUD.</w:t>
            </w:r>
          </w:p>
        </w:tc>
      </w:tr>
      <w:tr w:rsidR="008A60FF" w:rsidRPr="0098195D" w14:paraId="7EA2CE51" w14:textId="77777777" w:rsidTr="00C4770F">
        <w:tc>
          <w:tcPr>
            <w:tcW w:w="1908" w:type="dxa"/>
            <w:tcBorders>
              <w:left w:val="nil"/>
              <w:right w:val="nil"/>
            </w:tcBorders>
            <w:shd w:val="clear" w:color="auto" w:fill="D3DFEE"/>
          </w:tcPr>
          <w:p w14:paraId="56F685B3" w14:textId="57BD3EAE" w:rsidR="008A60FF" w:rsidRPr="0098195D" w:rsidRDefault="008A60FF" w:rsidP="00C4770F">
            <w:pPr>
              <w:rPr>
                <w:rFonts w:ascii="Cambria" w:hAnsi="Cambria"/>
                <w:b/>
                <w:bCs/>
                <w:color w:val="365F91"/>
                <w:sz w:val="22"/>
                <w:szCs w:val="22"/>
              </w:rPr>
            </w:pPr>
            <w:r w:rsidRPr="0098195D">
              <w:rPr>
                <w:rFonts w:ascii="Cambria" w:hAnsi="Cambria"/>
                <w:b/>
                <w:bCs/>
                <w:color w:val="365F91"/>
                <w:sz w:val="22"/>
                <w:szCs w:val="22"/>
              </w:rPr>
              <w:t>Ministerial Resolution 576-2011/MINSA</w:t>
            </w:r>
          </w:p>
        </w:tc>
        <w:tc>
          <w:tcPr>
            <w:tcW w:w="4590" w:type="dxa"/>
            <w:tcBorders>
              <w:left w:val="nil"/>
              <w:right w:val="nil"/>
            </w:tcBorders>
            <w:shd w:val="clear" w:color="auto" w:fill="D3DFEE"/>
          </w:tcPr>
          <w:p w14:paraId="4A73FF24" w14:textId="121A7AC5" w:rsidR="008A60FF" w:rsidRPr="0098195D" w:rsidRDefault="008A60FF" w:rsidP="00C4770F">
            <w:pPr>
              <w:rPr>
                <w:rFonts w:ascii="Cambria" w:hAnsi="Cambria"/>
                <w:color w:val="365F91"/>
                <w:sz w:val="22"/>
                <w:szCs w:val="22"/>
              </w:rPr>
            </w:pPr>
            <w:r w:rsidRPr="0098195D">
              <w:rPr>
                <w:rFonts w:ascii="Cambria" w:hAnsi="Cambria"/>
                <w:color w:val="365F91"/>
                <w:sz w:val="22"/>
                <w:szCs w:val="22"/>
              </w:rPr>
              <w:t>Adopts HL7 standards for electronic exchange of clinical and administrative data and DICOM standard for electronic exchange of medical images</w:t>
            </w:r>
          </w:p>
        </w:tc>
        <w:tc>
          <w:tcPr>
            <w:tcW w:w="3078" w:type="dxa"/>
            <w:tcBorders>
              <w:left w:val="nil"/>
              <w:right w:val="nil"/>
            </w:tcBorders>
            <w:shd w:val="clear" w:color="auto" w:fill="D3DFEE"/>
          </w:tcPr>
          <w:p w14:paraId="5F0FDD1F" w14:textId="46D1F462" w:rsidR="008A60FF" w:rsidRPr="0098195D" w:rsidRDefault="008A60FF" w:rsidP="00C4770F">
            <w:pPr>
              <w:rPr>
                <w:rFonts w:ascii="Cambria" w:hAnsi="Cambria"/>
                <w:color w:val="365F91"/>
                <w:sz w:val="22"/>
                <w:szCs w:val="22"/>
              </w:rPr>
            </w:pPr>
          </w:p>
        </w:tc>
      </w:tr>
    </w:tbl>
    <w:p w14:paraId="2DF43875" w14:textId="622032E7" w:rsidR="005F1B06" w:rsidRPr="00060787" w:rsidRDefault="005F1B06" w:rsidP="005F1B06">
      <w:pPr>
        <w:rPr>
          <w:rFonts w:ascii="Cambria" w:hAnsi="Cambria"/>
          <w:sz w:val="20"/>
          <w:szCs w:val="20"/>
        </w:rPr>
      </w:pPr>
      <w:r>
        <w:rPr>
          <w:rFonts w:ascii="Cambria" w:hAnsi="Cambria"/>
          <w:sz w:val="20"/>
          <w:szCs w:val="20"/>
        </w:rPr>
        <w:t>Table adapted from Curioso. Rev PAHO 2014 [</w:t>
      </w:r>
      <w:r w:rsidR="008A60FF">
        <w:rPr>
          <w:rFonts w:ascii="Cambria" w:hAnsi="Cambria"/>
          <w:sz w:val="20"/>
          <w:szCs w:val="20"/>
        </w:rPr>
        <w:t>9</w:t>
      </w:r>
      <w:r>
        <w:rPr>
          <w:rFonts w:ascii="Cambria" w:hAnsi="Cambria"/>
          <w:sz w:val="20"/>
          <w:szCs w:val="20"/>
        </w:rPr>
        <w:t>] and Curioso, Rev Peru Med Exp Salud Publica 2015 [</w:t>
      </w:r>
      <w:r w:rsidR="008A60FF">
        <w:rPr>
          <w:rFonts w:ascii="Cambria" w:hAnsi="Cambria"/>
          <w:sz w:val="20"/>
          <w:szCs w:val="20"/>
        </w:rPr>
        <w:t>10</w:t>
      </w:r>
      <w:r>
        <w:rPr>
          <w:rFonts w:ascii="Cambria" w:hAnsi="Cambria"/>
          <w:sz w:val="20"/>
          <w:szCs w:val="20"/>
        </w:rPr>
        <w:t>].</w:t>
      </w:r>
    </w:p>
    <w:p w14:paraId="0D26BBC5" w14:textId="77777777" w:rsidR="005F1B06" w:rsidRDefault="005F1B06" w:rsidP="005F1B06">
      <w:pPr>
        <w:rPr>
          <w:rFonts w:ascii="Cambria" w:hAnsi="Cambria"/>
          <w:b/>
        </w:rPr>
      </w:pPr>
    </w:p>
    <w:p w14:paraId="21FE3130" w14:textId="3973E9C5" w:rsidR="005F1B06" w:rsidRDefault="009F7CCD" w:rsidP="005F1B06">
      <w:pPr>
        <w:rPr>
          <w:rFonts w:ascii="Cambria" w:hAnsi="Cambria"/>
        </w:rPr>
      </w:pPr>
      <w:r>
        <w:rPr>
          <w:rFonts w:ascii="Cambria" w:hAnsi="Cambria"/>
        </w:rPr>
        <w:t>Peru</w:t>
      </w:r>
      <w:r w:rsidR="005F1B06">
        <w:rPr>
          <w:rFonts w:ascii="Cambria" w:hAnsi="Cambria"/>
        </w:rPr>
        <w:t xml:space="preserve"> has applied its policies for successful implementation of an online registration system for live births, at the national level in public and private health care centers and hospitals, a partnership between the MoH and National Identification and Civil Status Registry. The system allows staff to register newborns and generate a birth certificate in real-time in the delivery room. It also provides a central hub of health information allowing for real-time statistics for timely public health decision-making (e.g., identification of high-risk subgroups for interventions). </w:t>
      </w:r>
      <w:r>
        <w:rPr>
          <w:rFonts w:ascii="Cambria" w:hAnsi="Cambria"/>
        </w:rPr>
        <w:t>Peru</w:t>
      </w:r>
      <w:r w:rsidR="005F1B06">
        <w:rPr>
          <w:rFonts w:ascii="Cambria" w:hAnsi="Cambria"/>
        </w:rPr>
        <w:t xml:space="preserve"> is looking toward integration of this system with electronic medical records as well as building in telehealth services for rural populations</w:t>
      </w:r>
      <w:r w:rsidR="005F1B06" w:rsidRPr="008A60FF">
        <w:rPr>
          <w:rFonts w:ascii="Cambria" w:hAnsi="Cambria"/>
        </w:rPr>
        <w:t>.[</w:t>
      </w:r>
      <w:r w:rsidR="008A60FF" w:rsidRPr="008A60FF">
        <w:rPr>
          <w:rFonts w:ascii="Cambria" w:hAnsi="Cambria"/>
        </w:rPr>
        <w:t>11</w:t>
      </w:r>
      <w:r w:rsidR="005F1B06" w:rsidRPr="008A60FF">
        <w:rPr>
          <w:rFonts w:ascii="Cambria" w:hAnsi="Cambria"/>
        </w:rPr>
        <w:t>]</w:t>
      </w:r>
    </w:p>
    <w:p w14:paraId="7C905DD9" w14:textId="77777777" w:rsidR="009F7CCD" w:rsidRDefault="009F7CCD" w:rsidP="005F1B06">
      <w:pPr>
        <w:rPr>
          <w:rFonts w:ascii="Cambria" w:hAnsi="Cambria"/>
        </w:rPr>
      </w:pPr>
    </w:p>
    <w:p w14:paraId="159A035C" w14:textId="1BAE8E25" w:rsidR="005F1B06" w:rsidRPr="00296258" w:rsidRDefault="009F7CCD" w:rsidP="00A505D0">
      <w:pPr>
        <w:rPr>
          <w:rFonts w:ascii="Cambria" w:hAnsi="Cambria"/>
          <w:i/>
        </w:rPr>
      </w:pPr>
      <w:r>
        <w:rPr>
          <w:rFonts w:ascii="Cambria" w:hAnsi="Cambria"/>
          <w:i/>
        </w:rPr>
        <w:t xml:space="preserve">Source: </w:t>
      </w:r>
      <w:r w:rsidR="005551A9">
        <w:rPr>
          <w:rFonts w:ascii="Cambria" w:hAnsi="Cambria"/>
          <w:i/>
        </w:rPr>
        <w:t>Walter H. Curioso, PhD, MD, MPH, Affiliate Associate Professor, Department of Biomedical Informatics and Medical Education, School of Medicine at the University of Washington, Seattle, Washington, USA</w:t>
      </w:r>
    </w:p>
    <w:p w14:paraId="1F902426" w14:textId="77777777" w:rsidR="00A505D0" w:rsidRDefault="00A505D0" w:rsidP="00A505D0">
      <w:pPr>
        <w:rPr>
          <w:rFonts w:asciiTheme="majorHAnsi" w:hAnsiTheme="majorHAnsi"/>
          <w:b/>
          <w:sz w:val="28"/>
          <w:szCs w:val="28"/>
        </w:rPr>
      </w:pPr>
    </w:p>
    <w:p w14:paraId="77C79946" w14:textId="77777777" w:rsidR="007E4709" w:rsidRPr="00A505D0" w:rsidRDefault="007E4709" w:rsidP="00A505D0">
      <w:pPr>
        <w:rPr>
          <w:rFonts w:asciiTheme="majorHAnsi" w:hAnsiTheme="majorHAnsi"/>
          <w:b/>
          <w:sz w:val="28"/>
          <w:szCs w:val="28"/>
        </w:rPr>
        <w:sectPr w:rsidR="007E4709" w:rsidRPr="00A505D0" w:rsidSect="00A505D0">
          <w:footnotePr>
            <w:numFmt w:val="lowerLetter"/>
          </w:footnotePr>
          <w:pgSz w:w="12240" w:h="15840"/>
          <w:pgMar w:top="1440" w:right="1440" w:bottom="1440" w:left="1440" w:header="720" w:footer="720" w:gutter="0"/>
          <w:cols w:space="720"/>
          <w:docGrid w:linePitch="360"/>
        </w:sectPr>
      </w:pPr>
    </w:p>
    <w:p w14:paraId="3F4FF99B" w14:textId="77777777" w:rsidR="003E688F" w:rsidRDefault="003E688F" w:rsidP="001908E6">
      <w:pPr>
        <w:pStyle w:val="ListParagraph"/>
        <w:numPr>
          <w:ilvl w:val="1"/>
          <w:numId w:val="10"/>
        </w:numPr>
        <w:jc w:val="center"/>
        <w:rPr>
          <w:rFonts w:asciiTheme="majorHAnsi" w:hAnsiTheme="majorHAnsi"/>
          <w:b/>
          <w:sz w:val="28"/>
          <w:szCs w:val="28"/>
        </w:rPr>
      </w:pPr>
      <w:bookmarkStart w:id="12" w:name="_Ref445201990"/>
      <w:r w:rsidRPr="00C624DD">
        <w:rPr>
          <w:rFonts w:asciiTheme="majorHAnsi" w:hAnsiTheme="majorHAnsi"/>
          <w:b/>
          <w:sz w:val="28"/>
          <w:szCs w:val="28"/>
        </w:rPr>
        <w:t>Key Area 4: HIE Policies &amp; Procedures – Standards &amp; Interoperability</w:t>
      </w:r>
      <w:bookmarkEnd w:id="12"/>
    </w:p>
    <w:p w14:paraId="5A778075" w14:textId="77777777" w:rsidR="00222DC1" w:rsidRDefault="00222DC1" w:rsidP="00222DC1">
      <w:pPr>
        <w:pStyle w:val="ListParagraph"/>
        <w:ind w:left="0"/>
        <w:rPr>
          <w:rFonts w:asciiTheme="majorHAnsi" w:hAnsiTheme="majorHAnsi"/>
          <w:b/>
          <w:sz w:val="28"/>
          <w:szCs w:val="28"/>
        </w:rPr>
      </w:pPr>
    </w:p>
    <w:tbl>
      <w:tblPr>
        <w:tblStyle w:val="LightGrid-Accent1"/>
        <w:tblW w:w="0" w:type="auto"/>
        <w:tblLook w:val="04A0" w:firstRow="1" w:lastRow="0" w:firstColumn="1" w:lastColumn="0" w:noHBand="0" w:noVBand="1"/>
      </w:tblPr>
      <w:tblGrid>
        <w:gridCol w:w="1421"/>
        <w:gridCol w:w="2536"/>
        <w:gridCol w:w="2680"/>
        <w:gridCol w:w="2012"/>
        <w:gridCol w:w="4527"/>
      </w:tblGrid>
      <w:tr w:rsidR="00C0287C" w:rsidRPr="000517C4" w14:paraId="694D08C1" w14:textId="77777777" w:rsidTr="0005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 w:type="dxa"/>
          </w:tcPr>
          <w:p w14:paraId="3587EEEF" w14:textId="77777777" w:rsidR="00222DC1" w:rsidRPr="000517C4" w:rsidRDefault="00222DC1" w:rsidP="00D51A5C">
            <w:pPr>
              <w:jc w:val="center"/>
            </w:pPr>
            <w:r w:rsidRPr="000517C4">
              <w:t>Theme</w:t>
            </w:r>
          </w:p>
        </w:tc>
        <w:tc>
          <w:tcPr>
            <w:tcW w:w="2637" w:type="dxa"/>
          </w:tcPr>
          <w:p w14:paraId="3AE605EA" w14:textId="52AD8401" w:rsidR="00222DC1" w:rsidRPr="000517C4" w:rsidRDefault="009D2B27" w:rsidP="00D51A5C">
            <w:pPr>
              <w:jc w:val="center"/>
              <w:cnfStyle w:val="100000000000" w:firstRow="1" w:lastRow="0" w:firstColumn="0" w:lastColumn="0" w:oddVBand="0" w:evenVBand="0" w:oddHBand="0" w:evenHBand="0" w:firstRowFirstColumn="0" w:firstRowLastColumn="0" w:lastRowFirstColumn="0" w:lastRowLastColumn="0"/>
            </w:pPr>
            <w:r w:rsidRPr="000517C4">
              <w:t xml:space="preserve">Exemplar </w:t>
            </w:r>
            <w:r w:rsidR="00222DC1" w:rsidRPr="000517C4">
              <w:t>Question/Decision Point(s)</w:t>
            </w:r>
          </w:p>
        </w:tc>
        <w:tc>
          <w:tcPr>
            <w:tcW w:w="3068" w:type="dxa"/>
          </w:tcPr>
          <w:p w14:paraId="257DB99A" w14:textId="77777777" w:rsidR="00222DC1" w:rsidRPr="000517C4"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0517C4">
              <w:t>Example Option</w:t>
            </w:r>
          </w:p>
        </w:tc>
        <w:tc>
          <w:tcPr>
            <w:tcW w:w="2175" w:type="dxa"/>
          </w:tcPr>
          <w:p w14:paraId="63460962" w14:textId="35DE8613" w:rsidR="00222DC1" w:rsidRPr="000517C4"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0517C4">
              <w:t>Where Implemented or Planned</w:t>
            </w:r>
            <w:r w:rsidR="004C3278">
              <w:rPr>
                <w:rStyle w:val="FootnoteReference"/>
              </w:rPr>
              <w:footnoteReference w:id="7"/>
            </w:r>
          </w:p>
        </w:tc>
        <w:tc>
          <w:tcPr>
            <w:tcW w:w="3834" w:type="dxa"/>
          </w:tcPr>
          <w:p w14:paraId="10E2D689" w14:textId="77777777" w:rsidR="00222DC1" w:rsidRPr="000517C4"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0517C4">
              <w:t>Digital Development Principle(s)</w:t>
            </w:r>
          </w:p>
        </w:tc>
      </w:tr>
      <w:tr w:rsidR="00C0287C" w:rsidRPr="007C2673" w14:paraId="7D033181" w14:textId="77777777" w:rsidTr="000517C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462" w:type="dxa"/>
            <w:vMerge w:val="restart"/>
          </w:tcPr>
          <w:p w14:paraId="130A52DA" w14:textId="3118C5F7" w:rsidR="00572783" w:rsidRPr="007C2673" w:rsidRDefault="00572783" w:rsidP="007C2673">
            <w:r>
              <w:t>Data</w:t>
            </w:r>
          </w:p>
        </w:tc>
        <w:tc>
          <w:tcPr>
            <w:tcW w:w="2637" w:type="dxa"/>
            <w:vMerge w:val="restart"/>
          </w:tcPr>
          <w:p w14:paraId="0E1931E4" w14:textId="3481623F" w:rsidR="00572783" w:rsidRPr="007C267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 there a minimum common data set that should be collected/exchanged to meet the use case(s)?</w:t>
            </w:r>
          </w:p>
        </w:tc>
        <w:tc>
          <w:tcPr>
            <w:tcW w:w="3068" w:type="dxa"/>
          </w:tcPr>
          <w:p w14:paraId="779BB03F" w14:textId="14278B42" w:rsidR="00572783" w:rsidRPr="007C267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Yes, identified in regulations</w:t>
            </w:r>
          </w:p>
        </w:tc>
        <w:tc>
          <w:tcPr>
            <w:tcW w:w="2175" w:type="dxa"/>
          </w:tcPr>
          <w:p w14:paraId="460403ED" w14:textId="04B80485" w:rsidR="00572783" w:rsidRDefault="00ED568C"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South America</w:t>
            </w:r>
            <w:r w:rsidR="00572783">
              <w:rPr>
                <w:rStyle w:val="FootnoteReference"/>
                <w:rFonts w:asciiTheme="majorHAnsi" w:hAnsiTheme="majorHAnsi"/>
              </w:rPr>
              <w:footnoteReference w:id="8"/>
            </w:r>
          </w:p>
          <w:p w14:paraId="2AC55879" w14:textId="2EFF309A" w:rsidR="00572783" w:rsidRPr="007C267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834" w:type="dxa"/>
            <w:vMerge w:val="restart"/>
          </w:tcPr>
          <w:p w14:paraId="6FDFEFE6" w14:textId="05EBC5F6" w:rsidR="00572783" w:rsidRPr="007C267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D236C">
              <w:rPr>
                <w:rFonts w:asciiTheme="majorHAnsi" w:hAnsiTheme="majorHAnsi"/>
              </w:rPr>
              <w:t>Design for scale; Be data driven; Use open data/</w:t>
            </w:r>
            <w:r>
              <w:rPr>
                <w:rFonts w:asciiTheme="majorHAnsi" w:hAnsiTheme="majorHAnsi"/>
              </w:rPr>
              <w:t xml:space="preserve"> </w:t>
            </w:r>
            <w:r w:rsidRPr="00ED236C">
              <w:rPr>
                <w:rFonts w:asciiTheme="majorHAnsi" w:hAnsiTheme="majorHAnsi"/>
              </w:rPr>
              <w:t>standards/</w:t>
            </w:r>
            <w:r>
              <w:rPr>
                <w:rFonts w:asciiTheme="majorHAnsi" w:hAnsiTheme="majorHAnsi"/>
              </w:rPr>
              <w:t xml:space="preserve"> </w:t>
            </w:r>
            <w:r w:rsidRPr="00ED236C">
              <w:rPr>
                <w:rFonts w:asciiTheme="majorHAnsi" w:hAnsiTheme="majorHAnsi"/>
              </w:rPr>
              <w:t>source/</w:t>
            </w:r>
            <w:r>
              <w:rPr>
                <w:rFonts w:asciiTheme="majorHAnsi" w:hAnsiTheme="majorHAnsi"/>
              </w:rPr>
              <w:t xml:space="preserve"> </w:t>
            </w:r>
            <w:r w:rsidRPr="00ED236C">
              <w:rPr>
                <w:rFonts w:asciiTheme="majorHAnsi" w:hAnsiTheme="majorHAnsi"/>
              </w:rPr>
              <w:t>innovation</w:t>
            </w:r>
          </w:p>
        </w:tc>
      </w:tr>
      <w:tr w:rsidR="00C0287C" w:rsidRPr="007C2673" w14:paraId="60F20C46" w14:textId="77777777" w:rsidTr="000517C4">
        <w:trPr>
          <w:cnfStyle w:val="000000010000" w:firstRow="0" w:lastRow="0" w:firstColumn="0" w:lastColumn="0" w:oddVBand="0" w:evenVBand="0" w:oddHBand="0" w:evenHBand="1"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462" w:type="dxa"/>
            <w:vMerge/>
          </w:tcPr>
          <w:p w14:paraId="42108B81" w14:textId="77777777" w:rsidR="00572783" w:rsidRDefault="00572783" w:rsidP="007C2673"/>
        </w:tc>
        <w:tc>
          <w:tcPr>
            <w:tcW w:w="2637" w:type="dxa"/>
            <w:vMerge/>
          </w:tcPr>
          <w:p w14:paraId="0FC4A5EA" w14:textId="77777777" w:rsidR="00572783"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068" w:type="dxa"/>
          </w:tcPr>
          <w:p w14:paraId="061DB184" w14:textId="1D244995" w:rsidR="00572783"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Yes (method of implementation unknown)</w:t>
            </w:r>
          </w:p>
        </w:tc>
        <w:tc>
          <w:tcPr>
            <w:tcW w:w="2175" w:type="dxa"/>
          </w:tcPr>
          <w:p w14:paraId="3C2FCE93" w14:textId="2292162B" w:rsidR="00572783" w:rsidRDefault="00ED568C"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3834" w:type="dxa"/>
            <w:vMerge/>
          </w:tcPr>
          <w:p w14:paraId="1114AB08" w14:textId="77777777" w:rsidR="00572783" w:rsidRPr="00ED236C"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0287C" w:rsidRPr="007C2673" w14:paraId="137C35C7" w14:textId="77777777" w:rsidTr="000517C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62" w:type="dxa"/>
            <w:vMerge w:val="restart"/>
          </w:tcPr>
          <w:p w14:paraId="30E3C1D0" w14:textId="578C72BF" w:rsidR="00572783" w:rsidRDefault="00572783" w:rsidP="007C2673">
            <w:r>
              <w:t>Standards</w:t>
            </w:r>
          </w:p>
        </w:tc>
        <w:tc>
          <w:tcPr>
            <w:tcW w:w="2637" w:type="dxa"/>
            <w:vMerge w:val="restart"/>
          </w:tcPr>
          <w:p w14:paraId="2C8F04F5" w14:textId="69D87AE9" w:rsidR="0057278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 there a minimum set of interoperability standards requirements (e.g., terminology standards, content exchange standards)?</w:t>
            </w:r>
          </w:p>
        </w:tc>
        <w:tc>
          <w:tcPr>
            <w:tcW w:w="3068" w:type="dxa"/>
          </w:tcPr>
          <w:p w14:paraId="05BDEDEB" w14:textId="79CB3986" w:rsidR="0057278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Yes, published in </w:t>
            </w:r>
            <w:r w:rsidR="00FE66CC">
              <w:rPr>
                <w:rFonts w:asciiTheme="majorHAnsi" w:hAnsiTheme="majorHAnsi"/>
              </w:rPr>
              <w:t xml:space="preserve">national </w:t>
            </w:r>
            <w:r>
              <w:rPr>
                <w:rFonts w:asciiTheme="majorHAnsi" w:hAnsiTheme="majorHAnsi"/>
              </w:rPr>
              <w:t>standards and guidelines documents</w:t>
            </w:r>
          </w:p>
        </w:tc>
        <w:tc>
          <w:tcPr>
            <w:tcW w:w="2175" w:type="dxa"/>
          </w:tcPr>
          <w:p w14:paraId="2A33C45C" w14:textId="59693DC5" w:rsidR="00572783" w:rsidRDefault="00ED568C"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r w:rsidR="00572783">
              <w:rPr>
                <w:rStyle w:val="FootnoteReference"/>
                <w:rFonts w:asciiTheme="majorHAnsi" w:hAnsiTheme="majorHAnsi"/>
              </w:rPr>
              <w:footnoteReference w:id="9"/>
            </w:r>
          </w:p>
          <w:p w14:paraId="625D0BB6" w14:textId="0C56FD96" w:rsidR="0057278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834" w:type="dxa"/>
            <w:vMerge w:val="restart"/>
          </w:tcPr>
          <w:p w14:paraId="26973FED" w14:textId="7DAB3BB6" w:rsidR="00572783" w:rsidRPr="00ED236C" w:rsidRDefault="00C815D0"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815D0">
              <w:rPr>
                <w:rFonts w:asciiTheme="majorHAnsi" w:hAnsiTheme="majorHAnsi"/>
              </w:rPr>
              <w:t>Design for scale; Use open data/standards/source/innovation; Be collaborative</w:t>
            </w:r>
          </w:p>
        </w:tc>
      </w:tr>
      <w:tr w:rsidR="00C0287C" w:rsidRPr="007C2673" w14:paraId="03D22C51" w14:textId="77777777" w:rsidTr="000517C4">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62" w:type="dxa"/>
            <w:vMerge/>
          </w:tcPr>
          <w:p w14:paraId="0C163480" w14:textId="77777777" w:rsidR="00572783" w:rsidRDefault="00572783" w:rsidP="007C2673"/>
        </w:tc>
        <w:tc>
          <w:tcPr>
            <w:tcW w:w="2637" w:type="dxa"/>
            <w:vMerge/>
          </w:tcPr>
          <w:p w14:paraId="4AE8C441" w14:textId="77777777" w:rsidR="00572783"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068" w:type="dxa"/>
          </w:tcPr>
          <w:p w14:paraId="5EBDBC77" w14:textId="1B7A6D13" w:rsidR="00572783"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Yes, identified in regulations (</w:t>
            </w:r>
            <w:r w:rsidR="006F7393">
              <w:rPr>
                <w:rFonts w:asciiTheme="majorHAnsi" w:hAnsiTheme="majorHAnsi"/>
              </w:rPr>
              <w:t xml:space="preserve">i.e., </w:t>
            </w:r>
            <w:r>
              <w:rPr>
                <w:rFonts w:asciiTheme="majorHAnsi" w:hAnsiTheme="majorHAnsi"/>
              </w:rPr>
              <w:t>ICD-10, HL7, and DICOM)</w:t>
            </w:r>
          </w:p>
        </w:tc>
        <w:tc>
          <w:tcPr>
            <w:tcW w:w="2175" w:type="dxa"/>
          </w:tcPr>
          <w:p w14:paraId="227727F6" w14:textId="357399B7" w:rsidR="00572783" w:rsidRDefault="00ED568C"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South America</w:t>
            </w:r>
          </w:p>
          <w:p w14:paraId="5044D5FE" w14:textId="77777777" w:rsidR="00572783"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2FF40CAE" w14:textId="06CB1080" w:rsidR="00572783"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834" w:type="dxa"/>
            <w:vMerge/>
          </w:tcPr>
          <w:p w14:paraId="409734D2" w14:textId="77777777" w:rsidR="00572783" w:rsidRPr="00ED236C"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0287C" w:rsidRPr="007C2673" w14:paraId="1DB08826" w14:textId="77777777" w:rsidTr="000517C4">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462" w:type="dxa"/>
            <w:vMerge/>
          </w:tcPr>
          <w:p w14:paraId="619EDC81" w14:textId="77777777" w:rsidR="00572783" w:rsidRDefault="00572783" w:rsidP="007C2673"/>
        </w:tc>
        <w:tc>
          <w:tcPr>
            <w:tcW w:w="2637" w:type="dxa"/>
            <w:vMerge/>
          </w:tcPr>
          <w:p w14:paraId="267E2425" w14:textId="77777777" w:rsidR="0057278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068" w:type="dxa"/>
          </w:tcPr>
          <w:p w14:paraId="503D6CC4" w14:textId="7FEC64DD" w:rsidR="00572783"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Yes, suggested but not enforceable </w:t>
            </w:r>
            <w:r w:rsidR="00C0287C">
              <w:rPr>
                <w:rFonts w:asciiTheme="majorHAnsi" w:hAnsiTheme="majorHAnsi"/>
              </w:rPr>
              <w:t xml:space="preserve">by the U.S. government at this time. However, private and state networks may choose to require certain standards for participation. </w:t>
            </w:r>
            <w:r>
              <w:rPr>
                <w:rFonts w:asciiTheme="majorHAnsi" w:hAnsiTheme="majorHAnsi"/>
              </w:rPr>
              <w:t>(</w:t>
            </w:r>
            <w:hyperlink r:id="rId34" w:history="1">
              <w:r w:rsidRPr="003B11F7">
                <w:rPr>
                  <w:rStyle w:val="Hyperlink"/>
                  <w:rFonts w:asciiTheme="majorHAnsi" w:hAnsiTheme="majorHAnsi"/>
                </w:rPr>
                <w:t>Interoperability Standards Advisory</w:t>
              </w:r>
            </w:hyperlink>
            <w:r>
              <w:rPr>
                <w:rFonts w:asciiTheme="majorHAnsi" w:hAnsiTheme="majorHAnsi"/>
              </w:rPr>
              <w:t>)</w:t>
            </w:r>
          </w:p>
        </w:tc>
        <w:tc>
          <w:tcPr>
            <w:tcW w:w="2175" w:type="dxa"/>
          </w:tcPr>
          <w:p w14:paraId="5F82866D" w14:textId="2EDCD195" w:rsidR="00572783" w:rsidRDefault="00ED568C"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3834" w:type="dxa"/>
            <w:vMerge/>
          </w:tcPr>
          <w:p w14:paraId="2D6BDAAA" w14:textId="77777777" w:rsidR="00572783" w:rsidRPr="00ED236C" w:rsidRDefault="00572783"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0287C" w:rsidRPr="007C2673" w14:paraId="028FEA11" w14:textId="77777777" w:rsidTr="000517C4">
        <w:trPr>
          <w:cnfStyle w:val="000000010000" w:firstRow="0" w:lastRow="0" w:firstColumn="0" w:lastColumn="0" w:oddVBand="0" w:evenVBand="0" w:oddHBand="0" w:evenHBand="1"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1462" w:type="dxa"/>
            <w:vMerge w:val="restart"/>
          </w:tcPr>
          <w:p w14:paraId="615488AB" w14:textId="421B004C" w:rsidR="005948E6" w:rsidRDefault="005948E6" w:rsidP="007C2673">
            <w:r>
              <w:t>Platform</w:t>
            </w:r>
          </w:p>
        </w:tc>
        <w:tc>
          <w:tcPr>
            <w:tcW w:w="2637" w:type="dxa"/>
            <w:vMerge w:val="restart"/>
          </w:tcPr>
          <w:p w14:paraId="030BEB8E" w14:textId="56A1849C" w:rsidR="005948E6" w:rsidRDefault="005948E6"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Are participants required or encouraged to implement the same technology platform?</w:t>
            </w:r>
          </w:p>
        </w:tc>
        <w:tc>
          <w:tcPr>
            <w:tcW w:w="3068" w:type="dxa"/>
          </w:tcPr>
          <w:p w14:paraId="7B585B7B" w14:textId="78D867F6" w:rsidR="005948E6" w:rsidRDefault="005948E6"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 decentralized government structure with county autonomy to purchase software</w:t>
            </w:r>
          </w:p>
        </w:tc>
        <w:tc>
          <w:tcPr>
            <w:tcW w:w="2175" w:type="dxa"/>
          </w:tcPr>
          <w:p w14:paraId="0A773BF0" w14:textId="6860FB45" w:rsidR="005948E6" w:rsidRDefault="00832932"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p w14:paraId="1B4309EE" w14:textId="77777777" w:rsidR="005948E6" w:rsidRDefault="005948E6"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75E0BB96" w14:textId="77777777" w:rsidR="005948E6" w:rsidRDefault="005948E6"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07BA8709" w14:textId="4BF45B08" w:rsidR="005948E6" w:rsidRDefault="005948E6"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834" w:type="dxa"/>
            <w:vMerge w:val="restart"/>
          </w:tcPr>
          <w:p w14:paraId="19DB065D" w14:textId="44858750" w:rsidR="005948E6" w:rsidRPr="00ED236C" w:rsidRDefault="00C815D0"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15D0">
              <w:rPr>
                <w:rFonts w:asciiTheme="majorHAnsi" w:hAnsiTheme="majorHAnsi"/>
              </w:rPr>
              <w:t>Design for scale; Use open data/standards/source/innovation; Be collaborative</w:t>
            </w:r>
          </w:p>
        </w:tc>
      </w:tr>
      <w:tr w:rsidR="00C0287C" w:rsidRPr="007C2673" w14:paraId="18A378E7" w14:textId="77777777" w:rsidTr="000517C4">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1462" w:type="dxa"/>
            <w:vMerge/>
          </w:tcPr>
          <w:p w14:paraId="202FFEB7" w14:textId="77777777" w:rsidR="005948E6" w:rsidRDefault="005948E6" w:rsidP="007C2673"/>
        </w:tc>
        <w:tc>
          <w:tcPr>
            <w:tcW w:w="2637" w:type="dxa"/>
            <w:vMerge/>
          </w:tcPr>
          <w:p w14:paraId="6C4B705E" w14:textId="77777777" w:rsidR="005948E6" w:rsidRDefault="005948E6"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068" w:type="dxa"/>
          </w:tcPr>
          <w:p w14:paraId="2522C7B4" w14:textId="0CF39CF0" w:rsidR="005948E6" w:rsidRDefault="005948E6"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OpenHIE (either implementing or considering)</w:t>
            </w:r>
          </w:p>
        </w:tc>
        <w:tc>
          <w:tcPr>
            <w:tcW w:w="2175" w:type="dxa"/>
          </w:tcPr>
          <w:p w14:paraId="4253FA1D" w14:textId="6B948478" w:rsidR="005948E6" w:rsidRDefault="00832932"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 Africa</w:t>
            </w:r>
          </w:p>
        </w:tc>
        <w:tc>
          <w:tcPr>
            <w:tcW w:w="3834" w:type="dxa"/>
            <w:vMerge/>
          </w:tcPr>
          <w:p w14:paraId="2AAF0D71" w14:textId="77777777" w:rsidR="005948E6" w:rsidRPr="00ED236C" w:rsidRDefault="005948E6" w:rsidP="007C26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0287C" w:rsidRPr="007C2673" w14:paraId="7A0C8929" w14:textId="77777777" w:rsidTr="00051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66133E34" w14:textId="20E74791" w:rsidR="00ED236C" w:rsidRDefault="00A36D71" w:rsidP="007C2673">
            <w:r>
              <w:t>Transport</w:t>
            </w:r>
          </w:p>
        </w:tc>
        <w:tc>
          <w:tcPr>
            <w:tcW w:w="2637" w:type="dxa"/>
          </w:tcPr>
          <w:p w14:paraId="0B463B4B" w14:textId="0AD128B7" w:rsidR="00ED236C" w:rsidRDefault="002E1850"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Are participants able to use multiple transport methods?</w:t>
            </w:r>
          </w:p>
        </w:tc>
        <w:tc>
          <w:tcPr>
            <w:tcW w:w="3068" w:type="dxa"/>
          </w:tcPr>
          <w:p w14:paraId="205D7408" w14:textId="60670142" w:rsidR="00ED236C" w:rsidRDefault="00572783"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Yes</w:t>
            </w:r>
          </w:p>
        </w:tc>
        <w:tc>
          <w:tcPr>
            <w:tcW w:w="2175" w:type="dxa"/>
          </w:tcPr>
          <w:p w14:paraId="3C390AD5" w14:textId="3BAAD9D8" w:rsidR="00ED236C" w:rsidRDefault="00832932"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Europe</w:t>
            </w:r>
          </w:p>
        </w:tc>
        <w:tc>
          <w:tcPr>
            <w:tcW w:w="3834" w:type="dxa"/>
          </w:tcPr>
          <w:p w14:paraId="7361627F" w14:textId="7B9BD8B5" w:rsidR="00ED236C" w:rsidRPr="00ED236C" w:rsidRDefault="00C815D0" w:rsidP="007C26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15D0">
              <w:rPr>
                <w:rFonts w:asciiTheme="majorHAnsi" w:hAnsiTheme="majorHAnsi"/>
              </w:rPr>
              <w:t>Understand the ecosystem; Use open/data/standards/source/innovation; Be collaborative</w:t>
            </w:r>
          </w:p>
        </w:tc>
      </w:tr>
    </w:tbl>
    <w:p w14:paraId="338D2E2B" w14:textId="77777777" w:rsidR="00217D1E" w:rsidRDefault="00217D1E" w:rsidP="00217D1E">
      <w:pPr>
        <w:rPr>
          <w:rFonts w:asciiTheme="majorHAnsi" w:hAnsiTheme="majorHAnsi"/>
          <w:b/>
        </w:rPr>
      </w:pPr>
    </w:p>
    <w:p w14:paraId="60AFB0C5" w14:textId="77777777" w:rsidR="00217D1E" w:rsidRDefault="00217D1E" w:rsidP="00217D1E">
      <w:pPr>
        <w:rPr>
          <w:rFonts w:asciiTheme="majorHAnsi" w:hAnsiTheme="majorHAnsi"/>
          <w:b/>
        </w:rPr>
      </w:pPr>
      <w:r>
        <w:rPr>
          <w:rFonts w:asciiTheme="majorHAnsi" w:hAnsiTheme="majorHAnsi"/>
          <w:b/>
        </w:rPr>
        <w:t>Lessons Learned:</w:t>
      </w:r>
    </w:p>
    <w:p w14:paraId="4B55BCCA" w14:textId="36B33332" w:rsidR="00222DC1" w:rsidRPr="007863DF" w:rsidRDefault="00B64876" w:rsidP="00217D1E">
      <w:pPr>
        <w:pStyle w:val="ListParagraph"/>
        <w:numPr>
          <w:ilvl w:val="0"/>
          <w:numId w:val="16"/>
        </w:numPr>
        <w:rPr>
          <w:rFonts w:asciiTheme="majorHAnsi" w:hAnsiTheme="majorHAnsi"/>
          <w:b/>
          <w:sz w:val="28"/>
          <w:szCs w:val="28"/>
        </w:rPr>
      </w:pPr>
      <w:r>
        <w:rPr>
          <w:rFonts w:asciiTheme="majorHAnsi" w:hAnsiTheme="majorHAnsi"/>
        </w:rPr>
        <w:t xml:space="preserve">All eHealth Strategies reviewed include standards as a key piece for interoperability and improved HIS integration. </w:t>
      </w:r>
    </w:p>
    <w:p w14:paraId="7D4E902A" w14:textId="77777777" w:rsidR="009C5378" w:rsidRPr="009C5378" w:rsidRDefault="007863DF" w:rsidP="007863DF">
      <w:pPr>
        <w:pStyle w:val="ListParagraph"/>
        <w:numPr>
          <w:ilvl w:val="0"/>
          <w:numId w:val="16"/>
        </w:numPr>
        <w:rPr>
          <w:rFonts w:asciiTheme="majorHAnsi" w:hAnsiTheme="majorHAnsi"/>
          <w:b/>
          <w:sz w:val="28"/>
          <w:szCs w:val="28"/>
        </w:rPr>
      </w:pPr>
      <w:r>
        <w:rPr>
          <w:rFonts w:asciiTheme="majorHAnsi" w:hAnsiTheme="majorHAnsi"/>
        </w:rPr>
        <w:t>Some countries either have no legal framework</w:t>
      </w:r>
      <w:r w:rsidR="00C355ED">
        <w:rPr>
          <w:rFonts w:asciiTheme="majorHAnsi" w:hAnsiTheme="majorHAnsi"/>
        </w:rPr>
        <w:t xml:space="preserve"> in place</w:t>
      </w:r>
      <w:r>
        <w:rPr>
          <w:rFonts w:asciiTheme="majorHAnsi" w:hAnsiTheme="majorHAnsi"/>
        </w:rPr>
        <w:t xml:space="preserve"> (e.g., Kenya) or have chosen not to enforce the implementation of identified standards</w:t>
      </w:r>
      <w:r w:rsidR="00C355ED">
        <w:rPr>
          <w:rFonts w:asciiTheme="majorHAnsi" w:hAnsiTheme="majorHAnsi"/>
        </w:rPr>
        <w:t xml:space="preserve"> </w:t>
      </w:r>
      <w:r w:rsidR="00B813E9">
        <w:rPr>
          <w:rFonts w:asciiTheme="majorHAnsi" w:hAnsiTheme="majorHAnsi"/>
        </w:rPr>
        <w:t xml:space="preserve">possibly </w:t>
      </w:r>
      <w:r w:rsidR="00C355ED">
        <w:rPr>
          <w:rFonts w:asciiTheme="majorHAnsi" w:hAnsiTheme="majorHAnsi"/>
        </w:rPr>
        <w:t>due to the health care environment</w:t>
      </w:r>
      <w:r>
        <w:rPr>
          <w:rFonts w:asciiTheme="majorHAnsi" w:hAnsiTheme="majorHAnsi"/>
        </w:rPr>
        <w:t xml:space="preserve"> (e.g., United States).</w:t>
      </w:r>
    </w:p>
    <w:p w14:paraId="333861B5" w14:textId="05EFD2FA" w:rsidR="00840A28" w:rsidRPr="009C5378" w:rsidRDefault="00392929" w:rsidP="007863DF">
      <w:pPr>
        <w:pStyle w:val="ListParagraph"/>
        <w:numPr>
          <w:ilvl w:val="0"/>
          <w:numId w:val="16"/>
        </w:numPr>
        <w:rPr>
          <w:rFonts w:asciiTheme="majorHAnsi" w:hAnsiTheme="majorHAnsi"/>
          <w:b/>
          <w:sz w:val="28"/>
          <w:szCs w:val="28"/>
        </w:rPr>
      </w:pPr>
      <w:r>
        <w:rPr>
          <w:rFonts w:asciiTheme="majorHAnsi" w:hAnsiTheme="majorHAnsi"/>
        </w:rPr>
        <w:t xml:space="preserve">Many countries without governance structures in place </w:t>
      </w:r>
      <w:r w:rsidR="00235A21">
        <w:rPr>
          <w:rFonts w:asciiTheme="majorHAnsi" w:hAnsiTheme="majorHAnsi"/>
        </w:rPr>
        <w:t>are</w:t>
      </w:r>
      <w:r>
        <w:rPr>
          <w:rFonts w:asciiTheme="majorHAnsi" w:hAnsiTheme="majorHAnsi"/>
        </w:rPr>
        <w:t xml:space="preserve"> working on standards and interoperability through pilot or demonstration projects. However, the lack of governance frameworks and/or legal </w:t>
      </w:r>
      <w:r w:rsidR="00D87582">
        <w:rPr>
          <w:rFonts w:asciiTheme="majorHAnsi" w:hAnsiTheme="majorHAnsi"/>
        </w:rPr>
        <w:t>tools (e.g., laws, regulations, data use agreements)</w:t>
      </w:r>
      <w:r>
        <w:rPr>
          <w:rFonts w:asciiTheme="majorHAnsi" w:hAnsiTheme="majorHAnsi"/>
        </w:rPr>
        <w:t xml:space="preserve"> may limit widespread or national-level interoperability. </w:t>
      </w:r>
      <w:r w:rsidR="007863DF">
        <w:rPr>
          <w:rFonts w:asciiTheme="majorHAnsi" w:hAnsiTheme="majorHAnsi"/>
        </w:rPr>
        <w:t xml:space="preserve"> </w:t>
      </w:r>
    </w:p>
    <w:p w14:paraId="7ADE0D98" w14:textId="77777777" w:rsidR="009C5378" w:rsidRPr="009C5378" w:rsidRDefault="009C5378" w:rsidP="009C5378">
      <w:pPr>
        <w:rPr>
          <w:rFonts w:asciiTheme="majorHAnsi" w:hAnsiTheme="majorHAnsi"/>
          <w:b/>
          <w:sz w:val="28"/>
          <w:szCs w:val="28"/>
        </w:rPr>
        <w:sectPr w:rsidR="009C5378" w:rsidRPr="009C5378" w:rsidSect="00922F78">
          <w:footnotePr>
            <w:numFmt w:val="lowerLetter"/>
          </w:footnotePr>
          <w:pgSz w:w="15840" w:h="12240" w:orient="landscape"/>
          <w:pgMar w:top="1440" w:right="1440" w:bottom="1440" w:left="1440" w:header="720" w:footer="720" w:gutter="0"/>
          <w:cols w:space="720"/>
          <w:docGrid w:linePitch="360"/>
        </w:sectPr>
      </w:pPr>
    </w:p>
    <w:p w14:paraId="15092BCE" w14:textId="77777777" w:rsidR="00840A28" w:rsidRPr="00840A28" w:rsidRDefault="00840A28" w:rsidP="00840A28">
      <w:pPr>
        <w:pStyle w:val="Heading4"/>
        <w:spacing w:before="0"/>
        <w:ind w:left="720"/>
        <w:jc w:val="center"/>
        <w:rPr>
          <w:color w:val="auto"/>
          <w:sz w:val="28"/>
          <w:szCs w:val="28"/>
        </w:rPr>
      </w:pPr>
      <w:bookmarkStart w:id="13" w:name="_Ref445202059"/>
      <w:r w:rsidRPr="00840A28">
        <w:rPr>
          <w:color w:val="auto"/>
          <w:sz w:val="28"/>
          <w:szCs w:val="28"/>
        </w:rPr>
        <w:t>Best Practices Feature #3 – Standards and Guidelines in Kenya</w:t>
      </w:r>
      <w:bookmarkEnd w:id="13"/>
    </w:p>
    <w:p w14:paraId="1BE24984" w14:textId="77777777" w:rsidR="003E688F" w:rsidRDefault="003E688F" w:rsidP="003E688F">
      <w:pPr>
        <w:jc w:val="center"/>
        <w:rPr>
          <w:rFonts w:asciiTheme="majorHAnsi" w:hAnsiTheme="majorHAnsi"/>
          <w:b/>
          <w:sz w:val="28"/>
          <w:szCs w:val="28"/>
        </w:rPr>
      </w:pPr>
    </w:p>
    <w:p w14:paraId="532B11F6" w14:textId="77777777" w:rsidR="0086689E" w:rsidRDefault="0086689E" w:rsidP="001D0DD0">
      <w:pPr>
        <w:rPr>
          <w:rFonts w:asciiTheme="majorHAnsi" w:hAnsiTheme="majorHAnsi"/>
          <w:b/>
        </w:rPr>
      </w:pPr>
      <w:r>
        <w:rPr>
          <w:rFonts w:asciiTheme="majorHAnsi" w:hAnsiTheme="majorHAnsi"/>
          <w:b/>
        </w:rPr>
        <w:t>Key Best Practices:</w:t>
      </w:r>
    </w:p>
    <w:p w14:paraId="365CEF5F" w14:textId="77777777" w:rsidR="0086689E" w:rsidRPr="0086689E" w:rsidRDefault="0086689E" w:rsidP="0086689E">
      <w:pPr>
        <w:pStyle w:val="ListParagraph"/>
        <w:numPr>
          <w:ilvl w:val="0"/>
          <w:numId w:val="13"/>
        </w:numPr>
        <w:rPr>
          <w:rFonts w:asciiTheme="majorHAnsi" w:hAnsiTheme="majorHAnsi"/>
        </w:rPr>
      </w:pPr>
      <w:r>
        <w:rPr>
          <w:rFonts w:asciiTheme="majorHAnsi" w:hAnsiTheme="majorHAnsi"/>
          <w:b/>
        </w:rPr>
        <w:t>A focus on key priority areas/”low hanging fruit” with expansion toward more use cases.</w:t>
      </w:r>
    </w:p>
    <w:p w14:paraId="2657E3A8" w14:textId="77777777" w:rsidR="0086689E" w:rsidRPr="0086689E" w:rsidRDefault="0086689E" w:rsidP="0086689E">
      <w:pPr>
        <w:pStyle w:val="ListParagraph"/>
        <w:numPr>
          <w:ilvl w:val="0"/>
          <w:numId w:val="13"/>
        </w:numPr>
        <w:rPr>
          <w:rFonts w:asciiTheme="majorHAnsi" w:hAnsiTheme="majorHAnsi"/>
        </w:rPr>
      </w:pPr>
      <w:r>
        <w:rPr>
          <w:rFonts w:asciiTheme="majorHAnsi" w:hAnsiTheme="majorHAnsi"/>
          <w:b/>
        </w:rPr>
        <w:t>Practical application of standards to evaluate current systems.</w:t>
      </w:r>
    </w:p>
    <w:p w14:paraId="14C57D33" w14:textId="77777777" w:rsidR="0086689E" w:rsidRPr="0086689E" w:rsidRDefault="0086689E" w:rsidP="0086689E">
      <w:pPr>
        <w:pStyle w:val="ListParagraph"/>
        <w:numPr>
          <w:ilvl w:val="0"/>
          <w:numId w:val="13"/>
        </w:numPr>
        <w:rPr>
          <w:rFonts w:asciiTheme="majorHAnsi" w:hAnsiTheme="majorHAnsi"/>
        </w:rPr>
      </w:pPr>
      <w:r>
        <w:rPr>
          <w:rFonts w:asciiTheme="majorHAnsi" w:hAnsiTheme="majorHAnsi"/>
          <w:b/>
        </w:rPr>
        <w:t>Involvement of key private sector partners in the development of standards and guidelines.</w:t>
      </w:r>
    </w:p>
    <w:p w14:paraId="7760C6D8" w14:textId="77777777" w:rsidR="0086689E" w:rsidRDefault="0086689E" w:rsidP="0086689E">
      <w:pPr>
        <w:rPr>
          <w:rFonts w:asciiTheme="majorHAnsi" w:hAnsiTheme="majorHAnsi"/>
        </w:rPr>
      </w:pPr>
    </w:p>
    <w:p w14:paraId="56B94AF2" w14:textId="77777777" w:rsidR="0086689E" w:rsidRPr="0086689E" w:rsidRDefault="0086689E" w:rsidP="0086689E">
      <w:pPr>
        <w:rPr>
          <w:rFonts w:asciiTheme="majorHAnsi" w:hAnsiTheme="majorHAnsi"/>
          <w:b/>
        </w:rPr>
      </w:pPr>
      <w:r>
        <w:rPr>
          <w:rFonts w:asciiTheme="majorHAnsi" w:hAnsiTheme="majorHAnsi"/>
          <w:b/>
        </w:rPr>
        <w:t>Identified Challenges:</w:t>
      </w:r>
    </w:p>
    <w:p w14:paraId="1D7D1722" w14:textId="77777777" w:rsidR="0086689E" w:rsidRPr="0086689E" w:rsidRDefault="0086689E" w:rsidP="0086689E">
      <w:pPr>
        <w:pStyle w:val="ListParagraph"/>
        <w:numPr>
          <w:ilvl w:val="0"/>
          <w:numId w:val="14"/>
        </w:numPr>
        <w:rPr>
          <w:rFonts w:asciiTheme="majorHAnsi" w:hAnsiTheme="majorHAnsi"/>
        </w:rPr>
      </w:pPr>
      <w:r>
        <w:rPr>
          <w:rFonts w:asciiTheme="majorHAnsi" w:hAnsiTheme="majorHAnsi"/>
          <w:b/>
        </w:rPr>
        <w:t>Enforcement of standards and guidelines.</w:t>
      </w:r>
    </w:p>
    <w:p w14:paraId="62ED386F" w14:textId="77777777" w:rsidR="0086689E" w:rsidRPr="0086689E" w:rsidRDefault="0086689E" w:rsidP="0086689E">
      <w:pPr>
        <w:pStyle w:val="ListParagraph"/>
        <w:numPr>
          <w:ilvl w:val="0"/>
          <w:numId w:val="14"/>
        </w:numPr>
        <w:rPr>
          <w:rFonts w:asciiTheme="majorHAnsi" w:hAnsiTheme="majorHAnsi"/>
        </w:rPr>
      </w:pPr>
      <w:r>
        <w:rPr>
          <w:rFonts w:asciiTheme="majorHAnsi" w:hAnsiTheme="majorHAnsi"/>
          <w:b/>
        </w:rPr>
        <w:t>Standardization and interoperability with a decentralized/federalized government structure.</w:t>
      </w:r>
    </w:p>
    <w:p w14:paraId="419AE64C" w14:textId="77777777" w:rsidR="0086689E" w:rsidRDefault="0086689E" w:rsidP="001D0DD0">
      <w:pPr>
        <w:rPr>
          <w:rFonts w:asciiTheme="majorHAnsi" w:hAnsiTheme="majorHAnsi"/>
        </w:rPr>
      </w:pPr>
    </w:p>
    <w:p w14:paraId="6E81C1A1" w14:textId="77777777" w:rsidR="00647DB9" w:rsidRDefault="005E21CE" w:rsidP="001D0DD0">
      <w:pPr>
        <w:rPr>
          <w:rFonts w:asciiTheme="majorHAnsi" w:hAnsiTheme="majorHAnsi"/>
        </w:rPr>
      </w:pPr>
      <w:r>
        <w:rPr>
          <w:rFonts w:asciiTheme="majorHAnsi" w:hAnsiTheme="majorHAnsi"/>
        </w:rPr>
        <w:t xml:space="preserve">In </w:t>
      </w:r>
      <w:r w:rsidR="001D0DD0">
        <w:rPr>
          <w:rFonts w:asciiTheme="majorHAnsi" w:hAnsiTheme="majorHAnsi"/>
        </w:rPr>
        <w:t>2010</w:t>
      </w:r>
      <w:r>
        <w:rPr>
          <w:rFonts w:asciiTheme="majorHAnsi" w:hAnsiTheme="majorHAnsi"/>
        </w:rPr>
        <w:t xml:space="preserve">, </w:t>
      </w:r>
      <w:r w:rsidR="007C745A">
        <w:rPr>
          <w:rFonts w:asciiTheme="majorHAnsi" w:hAnsiTheme="majorHAnsi"/>
        </w:rPr>
        <w:t xml:space="preserve">the </w:t>
      </w:r>
      <w:r w:rsidR="001D0DD0">
        <w:rPr>
          <w:rFonts w:asciiTheme="majorHAnsi" w:hAnsiTheme="majorHAnsi"/>
        </w:rPr>
        <w:t>Kenya</w:t>
      </w:r>
      <w:r w:rsidR="007C745A">
        <w:rPr>
          <w:rFonts w:asciiTheme="majorHAnsi" w:hAnsiTheme="majorHAnsi"/>
        </w:rPr>
        <w:t>n MoH</w:t>
      </w:r>
      <w:r w:rsidR="001D0DD0">
        <w:rPr>
          <w:rFonts w:asciiTheme="majorHAnsi" w:hAnsiTheme="majorHAnsi"/>
        </w:rPr>
        <w:t xml:space="preserve"> released the </w:t>
      </w:r>
      <w:r w:rsidR="001D0DD0" w:rsidRPr="007863DF">
        <w:rPr>
          <w:rFonts w:asciiTheme="majorHAnsi" w:hAnsiTheme="majorHAnsi"/>
        </w:rPr>
        <w:t xml:space="preserve">first </w:t>
      </w:r>
      <w:r w:rsidR="00647DB9" w:rsidRPr="007863DF">
        <w:rPr>
          <w:rFonts w:asciiTheme="majorHAnsi" w:hAnsiTheme="majorHAnsi"/>
          <w:i/>
        </w:rPr>
        <w:t>S</w:t>
      </w:r>
      <w:r w:rsidR="001D0DD0" w:rsidRPr="007863DF">
        <w:rPr>
          <w:rFonts w:asciiTheme="majorHAnsi" w:hAnsiTheme="majorHAnsi"/>
          <w:i/>
        </w:rPr>
        <w:t xml:space="preserve">tandards and </w:t>
      </w:r>
      <w:r w:rsidR="00647DB9" w:rsidRPr="007863DF">
        <w:rPr>
          <w:rFonts w:asciiTheme="majorHAnsi" w:hAnsiTheme="majorHAnsi"/>
          <w:i/>
        </w:rPr>
        <w:t>G</w:t>
      </w:r>
      <w:r w:rsidR="001D0DD0" w:rsidRPr="007863DF">
        <w:rPr>
          <w:rFonts w:asciiTheme="majorHAnsi" w:hAnsiTheme="majorHAnsi"/>
          <w:i/>
        </w:rPr>
        <w:t>uidelines for EMR systems</w:t>
      </w:r>
      <w:r w:rsidR="001D0DD0">
        <w:rPr>
          <w:rFonts w:asciiTheme="majorHAnsi" w:hAnsiTheme="majorHAnsi"/>
        </w:rPr>
        <w:t xml:space="preserve"> in support of the 2009-2014 Health Information Policy and Strategic Plan. </w:t>
      </w:r>
    </w:p>
    <w:p w14:paraId="02EE3D65" w14:textId="77777777" w:rsidR="00647DB9" w:rsidRDefault="00647DB9" w:rsidP="001D0DD0">
      <w:pPr>
        <w:rPr>
          <w:rFonts w:asciiTheme="majorHAnsi" w:hAnsiTheme="majorHAnsi"/>
        </w:rPr>
      </w:pPr>
    </w:p>
    <w:p w14:paraId="08B60192" w14:textId="77777777" w:rsidR="003E688F" w:rsidRDefault="001D0DD0" w:rsidP="001D0DD0">
      <w:pPr>
        <w:rPr>
          <w:rFonts w:asciiTheme="majorHAnsi" w:hAnsiTheme="majorHAnsi"/>
        </w:rPr>
      </w:pPr>
      <w:r>
        <w:rPr>
          <w:rFonts w:asciiTheme="majorHAnsi" w:hAnsiTheme="majorHAnsi"/>
        </w:rPr>
        <w:t>These standards focused on use cases for HIV/AIDS, TB, and maternal and child health. The guidelines address the minimum functionalities and standards for an EMR system, the implementation process, development, operations, and M&amp;E of EMR systems.</w:t>
      </w:r>
      <w:r w:rsidR="00647DB9">
        <w:rPr>
          <w:rFonts w:asciiTheme="majorHAnsi" w:hAnsiTheme="majorHAnsi"/>
        </w:rPr>
        <w:t xml:space="preserve"> The guidelines also include a s</w:t>
      </w:r>
      <w:r w:rsidR="00197FC8">
        <w:rPr>
          <w:rFonts w:asciiTheme="majorHAnsi" w:hAnsiTheme="majorHAnsi"/>
        </w:rPr>
        <w:t>ection on governance and policy.</w:t>
      </w:r>
    </w:p>
    <w:p w14:paraId="4966E228" w14:textId="77777777" w:rsidR="007C745A" w:rsidRDefault="007C745A" w:rsidP="001D0DD0">
      <w:pPr>
        <w:rPr>
          <w:rFonts w:asciiTheme="majorHAnsi" w:hAnsiTheme="majorHAnsi"/>
        </w:rPr>
      </w:pPr>
    </w:p>
    <w:p w14:paraId="0AFEF822" w14:textId="77777777" w:rsidR="007C745A" w:rsidRPr="007C745A" w:rsidRDefault="007C745A" w:rsidP="001D0DD0">
      <w:pPr>
        <w:rPr>
          <w:rFonts w:asciiTheme="majorHAnsi" w:hAnsiTheme="majorHAnsi"/>
        </w:rPr>
      </w:pPr>
      <w:r>
        <w:rPr>
          <w:rFonts w:asciiTheme="majorHAnsi" w:hAnsiTheme="majorHAnsi"/>
        </w:rPr>
        <w:t xml:space="preserve">In 2011, Kenya undertook a review of 17 EMR systems implemented in 28 districts across the country using the </w:t>
      </w:r>
      <w:r w:rsidRPr="007863DF">
        <w:rPr>
          <w:rFonts w:asciiTheme="majorHAnsi" w:hAnsiTheme="majorHAnsi"/>
          <w:i/>
        </w:rPr>
        <w:t>Standards and Guidelines for EMR systems</w:t>
      </w:r>
      <w:r>
        <w:rPr>
          <w:rFonts w:asciiTheme="majorHAnsi" w:hAnsiTheme="majorHAnsi"/>
          <w:b/>
        </w:rPr>
        <w:t xml:space="preserve"> </w:t>
      </w:r>
      <w:r>
        <w:rPr>
          <w:rFonts w:asciiTheme="majorHAnsi" w:hAnsiTheme="majorHAnsi"/>
        </w:rPr>
        <w:t xml:space="preserve">to evaluate system functionality and implementation. Four EMR systems met the </w:t>
      </w:r>
      <w:r w:rsidR="00EF53EC">
        <w:rPr>
          <w:rFonts w:asciiTheme="majorHAnsi" w:hAnsiTheme="majorHAnsi"/>
        </w:rPr>
        <w:t>MoH’s standards. This review against the national standards allowed the MoH to identify areas for improvement for the 13 systems that did not meet the standards.</w:t>
      </w:r>
    </w:p>
    <w:p w14:paraId="7281F236" w14:textId="77777777" w:rsidR="00647DB9" w:rsidRDefault="00647DB9" w:rsidP="001D0DD0">
      <w:pPr>
        <w:rPr>
          <w:rFonts w:asciiTheme="majorHAnsi" w:hAnsiTheme="majorHAnsi"/>
        </w:rPr>
      </w:pPr>
    </w:p>
    <w:p w14:paraId="7E35F4DA" w14:textId="33BBB637" w:rsidR="001D0DD0" w:rsidRDefault="003C032C" w:rsidP="00647DB9">
      <w:pPr>
        <w:rPr>
          <w:rFonts w:asciiTheme="majorHAnsi" w:hAnsiTheme="majorHAnsi"/>
        </w:rPr>
      </w:pPr>
      <w:r>
        <w:rPr>
          <w:rFonts w:asciiTheme="majorHAnsi" w:hAnsiTheme="majorHAnsi"/>
        </w:rPr>
        <w:t>Who developed</w:t>
      </w:r>
      <w:r w:rsidR="00197FC8">
        <w:rPr>
          <w:rFonts w:asciiTheme="majorHAnsi" w:hAnsiTheme="majorHAnsi"/>
        </w:rPr>
        <w:t xml:space="preserve"> the </w:t>
      </w:r>
      <w:r w:rsidR="00197FC8" w:rsidRPr="007863DF">
        <w:rPr>
          <w:rFonts w:asciiTheme="majorHAnsi" w:hAnsiTheme="majorHAnsi"/>
          <w:i/>
        </w:rPr>
        <w:t>Standards and Guidelines for EMR systems</w:t>
      </w:r>
      <w:r>
        <w:rPr>
          <w:rFonts w:asciiTheme="majorHAnsi" w:hAnsiTheme="majorHAnsi"/>
        </w:rPr>
        <w:t xml:space="preserve">? </w:t>
      </w:r>
      <w:r w:rsidR="00197FC8">
        <w:rPr>
          <w:rFonts w:asciiTheme="majorHAnsi" w:hAnsiTheme="majorHAnsi"/>
        </w:rPr>
        <w:t xml:space="preserve">The </w:t>
      </w:r>
      <w:r>
        <w:rPr>
          <w:rFonts w:asciiTheme="majorHAnsi" w:hAnsiTheme="majorHAnsi"/>
        </w:rPr>
        <w:t xml:space="preserve">MoH’s Division of HIS, National Aids and STI Control Program, Kenya Bureau of Standards, </w:t>
      </w:r>
      <w:r w:rsidR="00197FC8">
        <w:rPr>
          <w:rFonts w:asciiTheme="majorHAnsi" w:hAnsiTheme="majorHAnsi"/>
        </w:rPr>
        <w:t xml:space="preserve">and </w:t>
      </w:r>
      <w:r w:rsidR="00DD0EC4">
        <w:rPr>
          <w:rFonts w:asciiTheme="majorHAnsi" w:hAnsiTheme="majorHAnsi"/>
        </w:rPr>
        <w:t>the International Training and Education Center for Health (</w:t>
      </w:r>
      <w:r>
        <w:rPr>
          <w:rFonts w:asciiTheme="majorHAnsi" w:hAnsiTheme="majorHAnsi"/>
        </w:rPr>
        <w:t>I-TECH</w:t>
      </w:r>
      <w:r w:rsidR="00DD0EC4">
        <w:rPr>
          <w:rFonts w:asciiTheme="majorHAnsi" w:hAnsiTheme="majorHAnsi"/>
        </w:rPr>
        <w:t>)</w:t>
      </w:r>
      <w:r w:rsidR="00B5548D">
        <w:rPr>
          <w:rFonts w:asciiTheme="majorHAnsi" w:hAnsiTheme="majorHAnsi"/>
        </w:rPr>
        <w:t xml:space="preserve">, </w:t>
      </w:r>
      <w:r>
        <w:rPr>
          <w:rFonts w:asciiTheme="majorHAnsi" w:hAnsiTheme="majorHAnsi"/>
        </w:rPr>
        <w:t>through a technical working group of other implementing partners and donor organizations.</w:t>
      </w:r>
    </w:p>
    <w:p w14:paraId="76FF5D7B" w14:textId="77777777" w:rsidR="001D0DD0" w:rsidRDefault="001D0DD0" w:rsidP="001D0DD0">
      <w:pPr>
        <w:rPr>
          <w:rFonts w:asciiTheme="majorHAnsi" w:hAnsiTheme="majorHAnsi"/>
        </w:rPr>
      </w:pPr>
    </w:p>
    <w:p w14:paraId="3DB2357D" w14:textId="77777777" w:rsidR="00647DB9" w:rsidRDefault="005E21CE" w:rsidP="001D0DD0">
      <w:pPr>
        <w:rPr>
          <w:rFonts w:asciiTheme="majorHAnsi" w:hAnsiTheme="majorHAnsi"/>
          <w:b/>
        </w:rPr>
      </w:pPr>
      <w:r>
        <w:rPr>
          <w:rFonts w:asciiTheme="majorHAnsi" w:hAnsiTheme="majorHAnsi"/>
        </w:rPr>
        <w:t xml:space="preserve">In </w:t>
      </w:r>
      <w:r w:rsidR="00647DB9">
        <w:rPr>
          <w:rFonts w:asciiTheme="majorHAnsi" w:hAnsiTheme="majorHAnsi"/>
        </w:rPr>
        <w:t>2014</w:t>
      </w:r>
      <w:r>
        <w:rPr>
          <w:rFonts w:asciiTheme="majorHAnsi" w:hAnsiTheme="majorHAnsi"/>
        </w:rPr>
        <w:t xml:space="preserve">, </w:t>
      </w:r>
      <w:r w:rsidR="00647DB9">
        <w:rPr>
          <w:rFonts w:asciiTheme="majorHAnsi" w:hAnsiTheme="majorHAnsi"/>
        </w:rPr>
        <w:t xml:space="preserve">Kenya released an additional set of </w:t>
      </w:r>
      <w:r w:rsidR="00647DB9" w:rsidRPr="007863DF">
        <w:rPr>
          <w:rFonts w:asciiTheme="majorHAnsi" w:hAnsiTheme="majorHAnsi"/>
        </w:rPr>
        <w:t>Standards and Guidelines</w:t>
      </w:r>
      <w:r w:rsidR="00647DB9">
        <w:rPr>
          <w:rFonts w:asciiTheme="majorHAnsi" w:hAnsiTheme="majorHAnsi"/>
          <w:b/>
        </w:rPr>
        <w:t>:</w:t>
      </w:r>
    </w:p>
    <w:p w14:paraId="78BAD559" w14:textId="77777777" w:rsidR="00647DB9" w:rsidRDefault="00647DB9" w:rsidP="00647DB9">
      <w:pPr>
        <w:pStyle w:val="ListParagraph"/>
        <w:numPr>
          <w:ilvl w:val="0"/>
          <w:numId w:val="3"/>
        </w:numPr>
        <w:rPr>
          <w:rFonts w:asciiTheme="majorHAnsi" w:hAnsiTheme="majorHAnsi"/>
        </w:rPr>
      </w:pPr>
      <w:r w:rsidRPr="007863DF">
        <w:rPr>
          <w:rFonts w:asciiTheme="majorHAnsi" w:hAnsiTheme="majorHAnsi"/>
          <w:i/>
        </w:rPr>
        <w:t>For primary health care EMR systems</w:t>
      </w:r>
      <w:r>
        <w:rPr>
          <w:rFonts w:asciiTheme="majorHAnsi" w:hAnsiTheme="majorHAnsi"/>
        </w:rPr>
        <w:t>;</w:t>
      </w:r>
    </w:p>
    <w:p w14:paraId="3297A87A" w14:textId="77777777" w:rsidR="00647DB9" w:rsidRDefault="00647DB9" w:rsidP="00647DB9">
      <w:pPr>
        <w:pStyle w:val="ListParagraph"/>
        <w:numPr>
          <w:ilvl w:val="0"/>
          <w:numId w:val="3"/>
        </w:numPr>
        <w:rPr>
          <w:rFonts w:asciiTheme="majorHAnsi" w:hAnsiTheme="majorHAnsi"/>
          <w:b/>
        </w:rPr>
      </w:pPr>
      <w:r w:rsidRPr="007863DF">
        <w:rPr>
          <w:rFonts w:asciiTheme="majorHAnsi" w:hAnsiTheme="majorHAnsi"/>
          <w:i/>
        </w:rPr>
        <w:t>For electronic laboratory information systems;</w:t>
      </w:r>
      <w:r w:rsidR="00197FC8">
        <w:rPr>
          <w:rFonts w:asciiTheme="majorHAnsi" w:hAnsiTheme="majorHAnsi"/>
          <w:b/>
        </w:rPr>
        <w:t xml:space="preserve"> </w:t>
      </w:r>
      <w:r w:rsidR="00197FC8">
        <w:rPr>
          <w:rFonts w:asciiTheme="majorHAnsi" w:hAnsiTheme="majorHAnsi"/>
        </w:rPr>
        <w:t>and</w:t>
      </w:r>
    </w:p>
    <w:p w14:paraId="7F270E95" w14:textId="77777777" w:rsidR="00647DB9" w:rsidRPr="007863DF" w:rsidRDefault="00647DB9" w:rsidP="00647DB9">
      <w:pPr>
        <w:pStyle w:val="ListParagraph"/>
        <w:numPr>
          <w:ilvl w:val="0"/>
          <w:numId w:val="3"/>
        </w:numPr>
        <w:rPr>
          <w:rFonts w:asciiTheme="majorHAnsi" w:hAnsiTheme="majorHAnsi"/>
          <w:i/>
        </w:rPr>
      </w:pPr>
      <w:r w:rsidRPr="007863DF">
        <w:rPr>
          <w:rFonts w:asciiTheme="majorHAnsi" w:hAnsiTheme="majorHAnsi"/>
          <w:i/>
        </w:rPr>
        <w:t>For electronic pharmacy information systems.</w:t>
      </w:r>
    </w:p>
    <w:p w14:paraId="18676829" w14:textId="77777777" w:rsidR="00647DB9" w:rsidRDefault="00647DB9" w:rsidP="00647DB9">
      <w:pPr>
        <w:rPr>
          <w:rFonts w:asciiTheme="majorHAnsi" w:hAnsiTheme="majorHAnsi"/>
          <w:b/>
        </w:rPr>
      </w:pPr>
    </w:p>
    <w:p w14:paraId="5213B473" w14:textId="5A56D3E5" w:rsidR="00647DB9" w:rsidRDefault="001D2DEA" w:rsidP="00647DB9">
      <w:pPr>
        <w:rPr>
          <w:rFonts w:asciiTheme="majorHAnsi" w:hAnsiTheme="majorHAnsi"/>
        </w:rPr>
      </w:pPr>
      <w:r>
        <w:rPr>
          <w:rFonts w:asciiTheme="majorHAnsi" w:hAnsiTheme="majorHAnsi"/>
        </w:rPr>
        <w:t>The three guidelines reflect</w:t>
      </w:r>
      <w:r w:rsidR="00647DB9">
        <w:rPr>
          <w:rFonts w:asciiTheme="majorHAnsi" w:hAnsiTheme="majorHAnsi"/>
        </w:rPr>
        <w:t xml:space="preserve"> expanded use cases and goals to improve data sharing between systems, address the MoH’s reporting needs,</w:t>
      </w:r>
      <w:r w:rsidR="00A3225A">
        <w:rPr>
          <w:rFonts w:asciiTheme="majorHAnsi" w:hAnsiTheme="majorHAnsi"/>
        </w:rPr>
        <w:t xml:space="preserve"> promote increased use (particularly clinical) of the system by front-line health workers,</w:t>
      </w:r>
      <w:r w:rsidR="00647DB9">
        <w:rPr>
          <w:rFonts w:asciiTheme="majorHAnsi" w:hAnsiTheme="majorHAnsi"/>
        </w:rPr>
        <w:t xml:space="preserve"> and provide reliable support and sustainability for existing systems.</w:t>
      </w:r>
      <w:r w:rsidR="005E21CE">
        <w:rPr>
          <w:rFonts w:asciiTheme="majorHAnsi" w:hAnsiTheme="majorHAnsi"/>
        </w:rPr>
        <w:t xml:space="preserve"> These </w:t>
      </w:r>
      <w:r w:rsidR="005E21CE" w:rsidRPr="007863DF">
        <w:rPr>
          <w:rFonts w:asciiTheme="majorHAnsi" w:hAnsiTheme="majorHAnsi"/>
        </w:rPr>
        <w:t>Standards and Guidelines</w:t>
      </w:r>
      <w:r w:rsidR="005E21CE">
        <w:rPr>
          <w:rFonts w:asciiTheme="majorHAnsi" w:hAnsiTheme="majorHAnsi"/>
        </w:rPr>
        <w:t xml:space="preserve"> specify minimum data sets that systems in each domain must collect to facilitate exchange of patient-level data.</w:t>
      </w:r>
      <w:r w:rsidR="00A3225A">
        <w:rPr>
          <w:rFonts w:asciiTheme="majorHAnsi" w:hAnsiTheme="majorHAnsi"/>
        </w:rPr>
        <w:t xml:space="preserve"> They were developed through financial and technical support from the U.S. President’s Emergency Plan for AIDS Relief (PEPFAR), channeled through the Centers for Disease Control and Prevention (CDC), and implemented through I-TECH Kenya.</w:t>
      </w:r>
    </w:p>
    <w:p w14:paraId="58FE8B86" w14:textId="77777777" w:rsidR="005E21CE" w:rsidRDefault="005E21CE" w:rsidP="00647DB9">
      <w:pPr>
        <w:rPr>
          <w:rFonts w:asciiTheme="majorHAnsi" w:hAnsiTheme="majorHAnsi"/>
        </w:rPr>
      </w:pPr>
    </w:p>
    <w:p w14:paraId="383B752A" w14:textId="77777777" w:rsidR="001D2DEA" w:rsidRPr="00B5548D" w:rsidRDefault="00B5548D" w:rsidP="00647DB9">
      <w:pPr>
        <w:rPr>
          <w:rFonts w:asciiTheme="majorHAnsi" w:hAnsiTheme="majorHAnsi"/>
        </w:rPr>
      </w:pPr>
      <w:r>
        <w:rPr>
          <w:rFonts w:asciiTheme="majorHAnsi" w:hAnsiTheme="majorHAnsi"/>
        </w:rPr>
        <w:t xml:space="preserve">Who developed the </w:t>
      </w:r>
      <w:r w:rsidRPr="007863DF">
        <w:rPr>
          <w:rFonts w:asciiTheme="majorHAnsi" w:hAnsiTheme="majorHAnsi"/>
          <w:i/>
        </w:rPr>
        <w:t>primary health care EMR systems Standards and Guidelines</w:t>
      </w:r>
      <w:r>
        <w:rPr>
          <w:rFonts w:asciiTheme="majorHAnsi" w:hAnsiTheme="majorHAnsi"/>
        </w:rPr>
        <w:t xml:space="preserve">? </w:t>
      </w:r>
      <w:r w:rsidR="00E213EA">
        <w:rPr>
          <w:rFonts w:asciiTheme="majorHAnsi" w:hAnsiTheme="majorHAnsi"/>
        </w:rPr>
        <w:t>The MoH through a task force with representation from different MoH divisions and implementing partner organizations.</w:t>
      </w:r>
      <w:r w:rsidR="00C57DF3">
        <w:rPr>
          <w:rFonts w:asciiTheme="majorHAnsi" w:hAnsiTheme="majorHAnsi"/>
        </w:rPr>
        <w:t xml:space="preserve"> Additional feedback was sought through a stakeholder meeting.</w:t>
      </w:r>
    </w:p>
    <w:p w14:paraId="5C0A8BCC" w14:textId="77777777" w:rsidR="001D2DEA" w:rsidRDefault="001D2DEA" w:rsidP="00647DB9">
      <w:pPr>
        <w:rPr>
          <w:rFonts w:asciiTheme="majorHAnsi" w:hAnsiTheme="majorHAnsi"/>
        </w:rPr>
      </w:pPr>
    </w:p>
    <w:p w14:paraId="1BA1EC26" w14:textId="77777777" w:rsidR="00C57DF3" w:rsidRPr="00C57DF3" w:rsidRDefault="00C57DF3" w:rsidP="00C57DF3">
      <w:pPr>
        <w:rPr>
          <w:rFonts w:asciiTheme="majorHAnsi" w:hAnsiTheme="majorHAnsi"/>
        </w:rPr>
      </w:pPr>
      <w:r>
        <w:rPr>
          <w:rFonts w:asciiTheme="majorHAnsi" w:hAnsiTheme="majorHAnsi"/>
        </w:rPr>
        <w:t xml:space="preserve">Who developed the </w:t>
      </w:r>
      <w:r w:rsidRPr="007863DF">
        <w:rPr>
          <w:rFonts w:asciiTheme="majorHAnsi" w:hAnsiTheme="majorHAnsi"/>
          <w:i/>
        </w:rPr>
        <w:t>laboratory information systems Standards and Guidelines</w:t>
      </w:r>
      <w:r>
        <w:rPr>
          <w:rFonts w:asciiTheme="majorHAnsi" w:hAnsiTheme="majorHAnsi"/>
        </w:rPr>
        <w:t>? The MoH through the National Public Health Laboratories Services (a division of the MoH’s division of HIS), supported by implementation partners.</w:t>
      </w:r>
    </w:p>
    <w:p w14:paraId="2DED3BE2" w14:textId="77777777" w:rsidR="00C57DF3" w:rsidRDefault="00C57DF3" w:rsidP="00647DB9">
      <w:pPr>
        <w:rPr>
          <w:rFonts w:asciiTheme="majorHAnsi" w:hAnsiTheme="majorHAnsi"/>
        </w:rPr>
      </w:pPr>
    </w:p>
    <w:p w14:paraId="011F0AEC" w14:textId="77777777" w:rsidR="005E21CE" w:rsidRPr="005E21CE" w:rsidRDefault="005E21CE" w:rsidP="00647DB9">
      <w:pPr>
        <w:rPr>
          <w:rFonts w:asciiTheme="majorHAnsi" w:hAnsiTheme="majorHAnsi"/>
        </w:rPr>
      </w:pPr>
      <w:r>
        <w:rPr>
          <w:rFonts w:asciiTheme="majorHAnsi" w:hAnsiTheme="majorHAnsi"/>
        </w:rPr>
        <w:t xml:space="preserve">Who developed the </w:t>
      </w:r>
      <w:r w:rsidRPr="007863DF">
        <w:rPr>
          <w:rFonts w:asciiTheme="majorHAnsi" w:hAnsiTheme="majorHAnsi"/>
          <w:i/>
        </w:rPr>
        <w:t>pharmacy information systems Standards and Guidelines</w:t>
      </w:r>
      <w:r>
        <w:rPr>
          <w:rFonts w:asciiTheme="majorHAnsi" w:hAnsiTheme="majorHAnsi"/>
        </w:rPr>
        <w:t xml:space="preserve">? </w:t>
      </w:r>
      <w:r w:rsidR="00E213EA">
        <w:rPr>
          <w:rFonts w:asciiTheme="majorHAnsi" w:hAnsiTheme="majorHAnsi"/>
        </w:rPr>
        <w:t xml:space="preserve">The </w:t>
      </w:r>
      <w:r>
        <w:rPr>
          <w:rFonts w:asciiTheme="majorHAnsi" w:hAnsiTheme="majorHAnsi"/>
        </w:rPr>
        <w:t>MoH’s department of Pharmacy through a task force team including specific stakeholder organizations and divisions (e.g., Division of HIS, Mission for Essential Drugs and Supplies)</w:t>
      </w:r>
      <w:r w:rsidR="001D2DEA">
        <w:rPr>
          <w:rFonts w:asciiTheme="majorHAnsi" w:hAnsiTheme="majorHAnsi"/>
        </w:rPr>
        <w:t>.</w:t>
      </w:r>
    </w:p>
    <w:p w14:paraId="1EF2AD98" w14:textId="77777777" w:rsidR="00647DB9" w:rsidRDefault="00647DB9" w:rsidP="001D0DD0">
      <w:pPr>
        <w:rPr>
          <w:rFonts w:asciiTheme="majorHAnsi" w:hAnsiTheme="majorHAnsi"/>
        </w:rPr>
      </w:pPr>
    </w:p>
    <w:p w14:paraId="5EFA59FD" w14:textId="77777777" w:rsidR="001D0DD0" w:rsidRDefault="008C693D" w:rsidP="001D0DD0">
      <w:pPr>
        <w:rPr>
          <w:rFonts w:asciiTheme="majorHAnsi" w:hAnsiTheme="majorHAnsi"/>
        </w:rPr>
      </w:pPr>
      <w:r>
        <w:rPr>
          <w:rFonts w:asciiTheme="majorHAnsi" w:hAnsiTheme="majorHAnsi"/>
        </w:rPr>
        <w:t xml:space="preserve">The set of Standards and Guidelines provide a best practices example of national-level, stakeholder driven policies that </w:t>
      </w:r>
      <w:r w:rsidR="00AA2CDD">
        <w:rPr>
          <w:rFonts w:asciiTheme="majorHAnsi" w:hAnsiTheme="majorHAnsi"/>
        </w:rPr>
        <w:t>can</w:t>
      </w:r>
      <w:r>
        <w:rPr>
          <w:rFonts w:asciiTheme="majorHAnsi" w:hAnsiTheme="majorHAnsi"/>
        </w:rPr>
        <w:t xml:space="preserve"> promote system integration, interoperability, and better data quality. </w:t>
      </w:r>
      <w:r w:rsidR="00EE0070">
        <w:rPr>
          <w:rFonts w:asciiTheme="majorHAnsi" w:hAnsiTheme="majorHAnsi"/>
        </w:rPr>
        <w:t>Kenya began with a key</w:t>
      </w:r>
      <w:r>
        <w:rPr>
          <w:rFonts w:asciiTheme="majorHAnsi" w:hAnsiTheme="majorHAnsi"/>
        </w:rPr>
        <w:t xml:space="preserve"> set of health priorities and expanded to include additional priorities over time. However, </w:t>
      </w:r>
      <w:r w:rsidR="001D0DD0">
        <w:rPr>
          <w:rFonts w:asciiTheme="majorHAnsi" w:hAnsiTheme="majorHAnsi"/>
        </w:rPr>
        <w:t>Kenya currently has no regulatory means of enforcing their standards a</w:t>
      </w:r>
      <w:r>
        <w:rPr>
          <w:rFonts w:asciiTheme="majorHAnsi" w:hAnsiTheme="majorHAnsi"/>
        </w:rPr>
        <w:t xml:space="preserve">nd guidelines and has been considering policy options to drive adoption, such as the United States model of the EHR Incentive Programs (“meaningful use”). </w:t>
      </w:r>
      <w:r w:rsidR="00D30DF2">
        <w:rPr>
          <w:rFonts w:asciiTheme="majorHAnsi" w:hAnsiTheme="majorHAnsi"/>
        </w:rPr>
        <w:t>P</w:t>
      </w:r>
      <w:r>
        <w:rPr>
          <w:rFonts w:asciiTheme="majorHAnsi" w:hAnsiTheme="majorHAnsi"/>
        </w:rPr>
        <w:t>olic</w:t>
      </w:r>
      <w:r w:rsidR="007E60DC">
        <w:rPr>
          <w:rFonts w:asciiTheme="majorHAnsi" w:hAnsiTheme="majorHAnsi"/>
        </w:rPr>
        <w:t>y</w:t>
      </w:r>
      <w:r>
        <w:rPr>
          <w:rFonts w:asciiTheme="majorHAnsi" w:hAnsiTheme="majorHAnsi"/>
        </w:rPr>
        <w:t xml:space="preserve"> levers </w:t>
      </w:r>
      <w:r w:rsidR="00D30DF2">
        <w:rPr>
          <w:rFonts w:asciiTheme="majorHAnsi" w:hAnsiTheme="majorHAnsi"/>
        </w:rPr>
        <w:t>may be</w:t>
      </w:r>
      <w:r>
        <w:rPr>
          <w:rFonts w:asciiTheme="majorHAnsi" w:hAnsiTheme="majorHAnsi"/>
        </w:rPr>
        <w:t xml:space="preserve"> key to ensuring success as Kenya has moved to a decentralized government model with 47 counties that are implementing their own HIS.</w:t>
      </w:r>
      <w:r w:rsidR="0094177E">
        <w:rPr>
          <w:rFonts w:asciiTheme="majorHAnsi" w:hAnsiTheme="majorHAnsi"/>
        </w:rPr>
        <w:t xml:space="preserve"> To partially address this issue, Kenya is developing an EMR certification framework based on the Certification Commission for Health Information Technology (CCHIT) model and will be encouraging individual system implementers to self-attest to meeting the certification framework’s specifications.</w:t>
      </w:r>
    </w:p>
    <w:p w14:paraId="325D62A4" w14:textId="77777777" w:rsidR="00DD0EC4" w:rsidRDefault="00DD0EC4" w:rsidP="001D0DD0">
      <w:pPr>
        <w:rPr>
          <w:rFonts w:asciiTheme="majorHAnsi" w:hAnsiTheme="majorHAnsi"/>
        </w:rPr>
      </w:pPr>
    </w:p>
    <w:p w14:paraId="2458AA80" w14:textId="09E4561D" w:rsidR="00DD0EC4" w:rsidRDefault="00DD0EC4" w:rsidP="001D0DD0">
      <w:pPr>
        <w:rPr>
          <w:rFonts w:asciiTheme="majorHAnsi" w:hAnsiTheme="majorHAnsi"/>
          <w:i/>
        </w:rPr>
      </w:pPr>
      <w:r>
        <w:rPr>
          <w:rFonts w:asciiTheme="majorHAnsi" w:hAnsiTheme="majorHAnsi"/>
          <w:i/>
        </w:rPr>
        <w:t>Source:</w:t>
      </w:r>
    </w:p>
    <w:p w14:paraId="7891BBF3" w14:textId="7AEA90DE" w:rsidR="00DD0EC4" w:rsidRDefault="00DD0EC4" w:rsidP="001D0DD0">
      <w:pPr>
        <w:rPr>
          <w:rFonts w:asciiTheme="majorHAnsi" w:hAnsiTheme="majorHAnsi"/>
          <w:i/>
        </w:rPr>
      </w:pPr>
      <w:r>
        <w:rPr>
          <w:rFonts w:asciiTheme="majorHAnsi" w:hAnsiTheme="majorHAnsi"/>
          <w:i/>
        </w:rPr>
        <w:t>Steven Wanyee, MSc, EHR Implementation and Inter</w:t>
      </w:r>
      <w:r w:rsidR="00F4777D">
        <w:rPr>
          <w:rFonts w:asciiTheme="majorHAnsi" w:hAnsiTheme="majorHAnsi"/>
          <w:i/>
        </w:rPr>
        <w:t>operability Manager, I-TECH</w:t>
      </w:r>
      <w:r w:rsidR="00227670">
        <w:rPr>
          <w:rFonts w:asciiTheme="majorHAnsi" w:hAnsiTheme="majorHAnsi"/>
          <w:i/>
        </w:rPr>
        <w:t>, Executive Secretary, Kenya National Health Informatics Association</w:t>
      </w:r>
    </w:p>
    <w:p w14:paraId="2264AA9B" w14:textId="77777777" w:rsidR="00F4777D" w:rsidRPr="006A3840" w:rsidRDefault="00F4777D" w:rsidP="001D0DD0">
      <w:pPr>
        <w:rPr>
          <w:rFonts w:ascii="Arial" w:hAnsi="Arial" w:cs="Arial"/>
          <w:i/>
          <w:iCs/>
          <w:sz w:val="19"/>
          <w:szCs w:val="19"/>
          <w:shd w:val="clear" w:color="auto" w:fill="FFFFFF"/>
        </w:rPr>
      </w:pPr>
    </w:p>
    <w:p w14:paraId="21A07942" w14:textId="0B475C63" w:rsidR="00DD0EC4" w:rsidRPr="006A3840" w:rsidRDefault="00F4777D" w:rsidP="001D0DD0">
      <w:pPr>
        <w:rPr>
          <w:rFonts w:asciiTheme="majorHAnsi" w:hAnsiTheme="majorHAnsi"/>
          <w:i/>
        </w:rPr>
        <w:sectPr w:rsidR="00DD0EC4" w:rsidRPr="006A3840" w:rsidSect="00647DB9">
          <w:footnotePr>
            <w:numFmt w:val="lowerLetter"/>
          </w:footnotePr>
          <w:pgSz w:w="12240" w:h="15840"/>
          <w:pgMar w:top="1440" w:right="1440" w:bottom="1440" w:left="1440" w:header="720" w:footer="720" w:gutter="0"/>
          <w:cols w:space="720"/>
          <w:docGrid w:linePitch="360"/>
        </w:sectPr>
      </w:pPr>
      <w:r w:rsidRPr="006A3840">
        <w:rPr>
          <w:rFonts w:asciiTheme="majorHAnsi" w:hAnsiTheme="majorHAnsi" w:cs="Arial"/>
          <w:i/>
          <w:iCs/>
          <w:shd w:val="clear" w:color="auto" w:fill="FFFFFF"/>
        </w:rPr>
        <w:t>Steven worked for I-TECH between 2010 and 2015 October initially as a technical adviser and was directly responsible for development of the initial standards and guidelines, OEC proof of concept, technical liaison with MoH and other stakeholders, and generally all informatics tasks at I-TECH. Subsequently, his position changed to EMR/EHR Implementation and Interoperability Manager and he was directly responsible for design, development and implementation of KenyaEMR (achieved 343 implementations</w:t>
      </w:r>
      <w:r w:rsidRPr="006A3840">
        <w:rPr>
          <w:rStyle w:val="apple-converted-space"/>
          <w:rFonts w:asciiTheme="majorHAnsi" w:hAnsiTheme="majorHAnsi" w:cs="Arial"/>
          <w:i/>
          <w:iCs/>
          <w:shd w:val="clear" w:color="auto" w:fill="FFFFFF"/>
        </w:rPr>
        <w:t> </w:t>
      </w:r>
      <w:r w:rsidRPr="006A3840">
        <w:rPr>
          <w:rStyle w:val="aqj"/>
          <w:rFonts w:asciiTheme="majorHAnsi" w:hAnsiTheme="majorHAnsi" w:cs="Arial"/>
          <w:i/>
          <w:iCs/>
          <w:shd w:val="clear" w:color="auto" w:fill="FFFFFF"/>
        </w:rPr>
        <w:t>in 2 years</w:t>
      </w:r>
      <w:r w:rsidRPr="006A3840">
        <w:rPr>
          <w:rFonts w:asciiTheme="majorHAnsi" w:hAnsiTheme="majorHAnsi" w:cs="Arial"/>
          <w:i/>
          <w:iCs/>
          <w:shd w:val="clear" w:color="auto" w:fill="FFFFFF"/>
        </w:rPr>
        <w:t>), Lab Info System (22 implementations in 1.5 years), NUPI (National Unique Patient Identifier) design and initial prototyping, and generally, overall informatics technical leadership. Since Nov 2015, Steven is spending more time as the Executive Secretary of the Kenya National Health Informatics Association (KeHIA -</w:t>
      </w:r>
      <w:r w:rsidRPr="006A3840">
        <w:rPr>
          <w:rStyle w:val="apple-converted-space"/>
          <w:rFonts w:asciiTheme="majorHAnsi" w:hAnsiTheme="majorHAnsi" w:cs="Arial"/>
          <w:i/>
          <w:iCs/>
          <w:shd w:val="clear" w:color="auto" w:fill="FFFFFF"/>
        </w:rPr>
        <w:t> </w:t>
      </w:r>
      <w:hyperlink r:id="rId35" w:tgtFrame="_blank" w:history="1">
        <w:r w:rsidRPr="006A3840">
          <w:rPr>
            <w:rStyle w:val="Hyperlink"/>
            <w:rFonts w:asciiTheme="majorHAnsi" w:hAnsiTheme="majorHAnsi" w:cs="Arial"/>
            <w:i/>
            <w:iCs/>
            <w:color w:val="auto"/>
            <w:shd w:val="clear" w:color="auto" w:fill="FFFFFF"/>
          </w:rPr>
          <w:t>www.kehia.org</w:t>
        </w:r>
      </w:hyperlink>
      <w:r w:rsidRPr="006A3840">
        <w:rPr>
          <w:rFonts w:asciiTheme="majorHAnsi" w:hAnsiTheme="majorHAnsi" w:cs="Arial"/>
          <w:i/>
          <w:iCs/>
          <w:shd w:val="clear" w:color="auto" w:fill="FFFFFF"/>
        </w:rPr>
        <w:t>) spearheading a national informatics agenda that includes the policy and legal environment, human resources for health capacity, implementation best practices, and general sustainability efforts.</w:t>
      </w:r>
    </w:p>
    <w:p w14:paraId="455B25F9" w14:textId="77777777" w:rsidR="003E688F" w:rsidRPr="00C624DD" w:rsidRDefault="003E688F" w:rsidP="001908E6">
      <w:pPr>
        <w:pStyle w:val="ListParagraph"/>
        <w:numPr>
          <w:ilvl w:val="1"/>
          <w:numId w:val="10"/>
        </w:numPr>
        <w:jc w:val="center"/>
        <w:rPr>
          <w:rFonts w:asciiTheme="majorHAnsi" w:hAnsiTheme="majorHAnsi"/>
          <w:b/>
          <w:sz w:val="28"/>
          <w:szCs w:val="28"/>
        </w:rPr>
      </w:pPr>
      <w:bookmarkStart w:id="14" w:name="_Ref445202000"/>
      <w:r w:rsidRPr="00C624DD">
        <w:rPr>
          <w:rFonts w:asciiTheme="majorHAnsi" w:hAnsiTheme="majorHAnsi"/>
          <w:b/>
          <w:sz w:val="28"/>
          <w:szCs w:val="28"/>
        </w:rPr>
        <w:t>Key Area 5: HIE Policies &amp; Procedures – Privacy &amp; Security</w:t>
      </w:r>
      <w:bookmarkEnd w:id="14"/>
    </w:p>
    <w:p w14:paraId="54CCA88F" w14:textId="77777777" w:rsidR="003E688F" w:rsidRDefault="003E688F" w:rsidP="003E688F">
      <w:pPr>
        <w:jc w:val="center"/>
        <w:rPr>
          <w:rFonts w:asciiTheme="majorHAnsi" w:hAnsiTheme="majorHAnsi"/>
          <w:b/>
          <w:sz w:val="28"/>
          <w:szCs w:val="28"/>
        </w:rPr>
      </w:pPr>
    </w:p>
    <w:tbl>
      <w:tblPr>
        <w:tblStyle w:val="LightGrid-Accent1"/>
        <w:tblW w:w="0" w:type="auto"/>
        <w:tblLook w:val="04A0" w:firstRow="1" w:lastRow="0" w:firstColumn="1" w:lastColumn="0" w:noHBand="0" w:noVBand="1"/>
      </w:tblPr>
      <w:tblGrid>
        <w:gridCol w:w="2829"/>
        <w:gridCol w:w="4176"/>
        <w:gridCol w:w="2484"/>
        <w:gridCol w:w="3669"/>
      </w:tblGrid>
      <w:tr w:rsidR="00EA1EC1" w:rsidRPr="00280CD1" w14:paraId="09D0CE16" w14:textId="77777777" w:rsidTr="00280C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9" w:type="dxa"/>
          </w:tcPr>
          <w:p w14:paraId="1184CE32" w14:textId="65AE0343" w:rsidR="00EA1EC1" w:rsidRPr="00280CD1" w:rsidRDefault="009D2B27" w:rsidP="00D51A5C">
            <w:pPr>
              <w:jc w:val="center"/>
            </w:pPr>
            <w:r w:rsidRPr="00280CD1">
              <w:t xml:space="preserve">Exemplar </w:t>
            </w:r>
            <w:r w:rsidR="00EA1EC1" w:rsidRPr="00280CD1">
              <w:t>Question/Decision Point(s)</w:t>
            </w:r>
          </w:p>
        </w:tc>
        <w:tc>
          <w:tcPr>
            <w:tcW w:w="4176" w:type="dxa"/>
          </w:tcPr>
          <w:p w14:paraId="2EE717FA" w14:textId="77777777" w:rsidR="00EA1EC1" w:rsidRPr="00280CD1" w:rsidRDefault="00EA1EC1" w:rsidP="00D51A5C">
            <w:pPr>
              <w:jc w:val="center"/>
              <w:cnfStyle w:val="100000000000" w:firstRow="1" w:lastRow="0" w:firstColumn="0" w:lastColumn="0" w:oddVBand="0" w:evenVBand="0" w:oddHBand="0" w:evenHBand="0" w:firstRowFirstColumn="0" w:firstRowLastColumn="0" w:lastRowFirstColumn="0" w:lastRowLastColumn="0"/>
            </w:pPr>
            <w:r w:rsidRPr="00280CD1">
              <w:t>Example Option</w:t>
            </w:r>
          </w:p>
        </w:tc>
        <w:tc>
          <w:tcPr>
            <w:tcW w:w="2484" w:type="dxa"/>
          </w:tcPr>
          <w:p w14:paraId="728F940E" w14:textId="4550BA95" w:rsidR="00EA1EC1" w:rsidRPr="00280CD1" w:rsidRDefault="00EA1EC1" w:rsidP="00D51A5C">
            <w:pPr>
              <w:jc w:val="center"/>
              <w:cnfStyle w:val="100000000000" w:firstRow="1" w:lastRow="0" w:firstColumn="0" w:lastColumn="0" w:oddVBand="0" w:evenVBand="0" w:oddHBand="0" w:evenHBand="0" w:firstRowFirstColumn="0" w:firstRowLastColumn="0" w:lastRowFirstColumn="0" w:lastRowLastColumn="0"/>
            </w:pPr>
            <w:r w:rsidRPr="00280CD1">
              <w:t>Where Implemented or Planned</w:t>
            </w:r>
            <w:r w:rsidR="004C3278">
              <w:rPr>
                <w:rStyle w:val="FootnoteReference"/>
              </w:rPr>
              <w:footnoteReference w:id="10"/>
            </w:r>
          </w:p>
        </w:tc>
        <w:tc>
          <w:tcPr>
            <w:tcW w:w="3669" w:type="dxa"/>
          </w:tcPr>
          <w:p w14:paraId="092FCCCF" w14:textId="77777777" w:rsidR="00EA1EC1" w:rsidRPr="00280CD1" w:rsidRDefault="00EA1EC1" w:rsidP="00D51A5C">
            <w:pPr>
              <w:jc w:val="center"/>
              <w:cnfStyle w:val="100000000000" w:firstRow="1" w:lastRow="0" w:firstColumn="0" w:lastColumn="0" w:oddVBand="0" w:evenVBand="0" w:oddHBand="0" w:evenHBand="0" w:firstRowFirstColumn="0" w:firstRowLastColumn="0" w:lastRowFirstColumn="0" w:lastRowLastColumn="0"/>
            </w:pPr>
            <w:r w:rsidRPr="00280CD1">
              <w:t>Digital Development Principle(s)</w:t>
            </w:r>
          </w:p>
        </w:tc>
      </w:tr>
      <w:tr w:rsidR="00EA1EC1" w:rsidRPr="00EA1EC1" w14:paraId="3C5EF39A" w14:textId="77777777" w:rsidTr="0028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F1CF505" w14:textId="073CF7D6" w:rsidR="00EA1EC1" w:rsidRDefault="0061050E" w:rsidP="00EA1EC1">
            <w:r>
              <w:t>- Are there existing national laws regarding privacy and security requirements for health data?</w:t>
            </w:r>
          </w:p>
          <w:p w14:paraId="7114C649" w14:textId="463764C7" w:rsidR="0061050E" w:rsidRPr="00EA1EC1" w:rsidRDefault="0061050E" w:rsidP="00D12D88">
            <w:r>
              <w:t>- What are the underlying principles and cultural considerations?</w:t>
            </w:r>
          </w:p>
        </w:tc>
        <w:tc>
          <w:tcPr>
            <w:tcW w:w="4176" w:type="dxa"/>
          </w:tcPr>
          <w:p w14:paraId="22D0EDC7" w14:textId="77777777" w:rsidR="00EA1EC1" w:rsidRDefault="0018506E" w:rsidP="00EA1EC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Per </w:t>
            </w:r>
            <w:hyperlink r:id="rId36" w:history="1">
              <w:r w:rsidRPr="0018506E">
                <w:rPr>
                  <w:rStyle w:val="Hyperlink"/>
                  <w:rFonts w:asciiTheme="majorHAnsi" w:hAnsiTheme="majorHAnsi"/>
                </w:rPr>
                <w:t>WHO 2013 survey</w:t>
              </w:r>
            </w:hyperlink>
            <w:r>
              <w:rPr>
                <w:rFonts w:asciiTheme="majorHAnsi" w:hAnsiTheme="majorHAnsi"/>
              </w:rPr>
              <w:t xml:space="preserve"> of 75 countries:</w:t>
            </w:r>
          </w:p>
          <w:p w14:paraId="2EA15112" w14:textId="56BB08EB" w:rsidR="0018506E" w:rsidRDefault="00006B0F" w:rsidP="0018506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Laws to protect PII irrespective of format (paper or electronic): </w:t>
            </w:r>
            <w:r w:rsidR="00252300">
              <w:rPr>
                <w:rFonts w:asciiTheme="majorHAnsi" w:hAnsiTheme="majorHAnsi"/>
              </w:rPr>
              <w:t xml:space="preserve">10 of 28 (36%) </w:t>
            </w:r>
            <w:r w:rsidR="0018506E">
              <w:rPr>
                <w:rFonts w:asciiTheme="majorHAnsi" w:hAnsiTheme="majorHAnsi"/>
              </w:rPr>
              <w:t xml:space="preserve">in this review indicated laws in place; 10 (36%) indicated no laws in place; </w:t>
            </w:r>
            <w:r w:rsidR="00B16921">
              <w:rPr>
                <w:rFonts w:asciiTheme="majorHAnsi" w:hAnsiTheme="majorHAnsi"/>
              </w:rPr>
              <w:t xml:space="preserve">6 (21%) were not included in the WHO survey; </w:t>
            </w:r>
            <w:r w:rsidR="0018506E">
              <w:rPr>
                <w:rFonts w:asciiTheme="majorHAnsi" w:hAnsiTheme="majorHAnsi"/>
              </w:rPr>
              <w:t>1 (4%) indicated did not know;</w:t>
            </w:r>
            <w:r w:rsidR="00B16921">
              <w:rPr>
                <w:rFonts w:asciiTheme="majorHAnsi" w:hAnsiTheme="majorHAnsi"/>
              </w:rPr>
              <w:t xml:space="preserve"> 1 (4%) did not respond</w:t>
            </w:r>
            <w:r>
              <w:rPr>
                <w:rFonts w:asciiTheme="majorHAnsi" w:hAnsiTheme="majorHAnsi"/>
              </w:rPr>
              <w:t>.</w:t>
            </w:r>
          </w:p>
          <w:p w14:paraId="4507CBB1" w14:textId="1C58BF6A" w:rsidR="0018506E" w:rsidRPr="0018506E" w:rsidRDefault="00006B0F" w:rsidP="00006B0F">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Laws to protect electronic health data: </w:t>
            </w:r>
            <w:r w:rsidR="00252300">
              <w:rPr>
                <w:rFonts w:asciiTheme="majorHAnsi" w:hAnsiTheme="majorHAnsi"/>
              </w:rPr>
              <w:t xml:space="preserve">4 of 28 (14%) in this review indicated laws in place; 15 (54%) indicated no laws in place; 4 (14%) indicated did not know; </w:t>
            </w:r>
            <w:r>
              <w:rPr>
                <w:rFonts w:asciiTheme="majorHAnsi" w:hAnsiTheme="majorHAnsi"/>
              </w:rPr>
              <w:t>5 (18%) did not respond.</w:t>
            </w:r>
          </w:p>
        </w:tc>
        <w:tc>
          <w:tcPr>
            <w:tcW w:w="2484" w:type="dxa"/>
          </w:tcPr>
          <w:p w14:paraId="7EA763CF" w14:textId="77777777" w:rsidR="00EA1EC1" w:rsidRDefault="00EA1EC1" w:rsidP="00EA1EC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D40FA2C" w14:textId="77777777" w:rsidR="008869C9" w:rsidRDefault="008869C9" w:rsidP="00EA1EC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Countries with laws to protect PII irrespective of format: Ghana, Haiti, India, Indonesia, Philippines, Sierra Leone, South Africa, Tanzania, Uganda, Vietnam</w:t>
            </w:r>
          </w:p>
          <w:p w14:paraId="571E11CD" w14:textId="45ED244E" w:rsidR="008869C9" w:rsidRPr="00EA1EC1" w:rsidRDefault="008869C9" w:rsidP="007F753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Countries with laws to protect electronic health data: </w:t>
            </w:r>
            <w:r w:rsidR="001A1227">
              <w:rPr>
                <w:rFonts w:asciiTheme="majorHAnsi" w:hAnsiTheme="majorHAnsi"/>
              </w:rPr>
              <w:t xml:space="preserve">Ghana, Indonesia, </w:t>
            </w:r>
            <w:r w:rsidR="009F7CCD">
              <w:rPr>
                <w:rFonts w:asciiTheme="majorHAnsi" w:hAnsiTheme="majorHAnsi"/>
              </w:rPr>
              <w:t>Peru</w:t>
            </w:r>
            <w:r w:rsidR="001A1227">
              <w:rPr>
                <w:rFonts w:asciiTheme="majorHAnsi" w:hAnsiTheme="majorHAnsi"/>
              </w:rPr>
              <w:t>, Rwanda</w:t>
            </w:r>
          </w:p>
        </w:tc>
        <w:tc>
          <w:tcPr>
            <w:tcW w:w="3669" w:type="dxa"/>
          </w:tcPr>
          <w:p w14:paraId="379DD0C5" w14:textId="3AF4F56C" w:rsidR="00EA1EC1" w:rsidRPr="00EA1EC1" w:rsidRDefault="00536A96" w:rsidP="00EA1EC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36A96">
              <w:rPr>
                <w:rFonts w:asciiTheme="majorHAnsi" w:hAnsiTheme="majorHAnsi"/>
              </w:rPr>
              <w:t>Address privacy and security; Understand the ecosystem</w:t>
            </w:r>
          </w:p>
        </w:tc>
      </w:tr>
      <w:tr w:rsidR="0061050E" w:rsidRPr="00EA1EC1" w14:paraId="772C965B" w14:textId="77777777" w:rsidTr="00280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648D070" w14:textId="7DAFDCAD" w:rsidR="0061050E" w:rsidRDefault="0061050E" w:rsidP="00EA1EC1">
            <w:r>
              <w:t>What kind of identification and authentication process will be used to grant data access to users?</w:t>
            </w:r>
          </w:p>
        </w:tc>
        <w:tc>
          <w:tcPr>
            <w:tcW w:w="4176" w:type="dxa"/>
          </w:tcPr>
          <w:p w14:paraId="4271409D" w14:textId="40AC1E84" w:rsidR="0061050E" w:rsidRPr="00EA1EC1" w:rsidRDefault="0061050E" w:rsidP="00EA1EC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Hospital exchange with national health insurance bureau for membership validation and provision of a unique patient ID – hospital sends request letter to national health insurance bureau, which reviews the request and provides a security key to connect to the social health insurance system through APIs.</w:t>
            </w:r>
          </w:p>
        </w:tc>
        <w:tc>
          <w:tcPr>
            <w:tcW w:w="2484" w:type="dxa"/>
          </w:tcPr>
          <w:p w14:paraId="0DC89E68" w14:textId="2473FCAD" w:rsidR="0061050E" w:rsidRPr="00EA1EC1" w:rsidRDefault="002822D0" w:rsidP="00EA1EC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tc>
        <w:tc>
          <w:tcPr>
            <w:tcW w:w="3669" w:type="dxa"/>
          </w:tcPr>
          <w:p w14:paraId="6471A750" w14:textId="4A682957" w:rsidR="0061050E" w:rsidRPr="00EA1EC1" w:rsidRDefault="00536A96" w:rsidP="00EA1EC1">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36A96">
              <w:rPr>
                <w:rFonts w:asciiTheme="majorHAnsi" w:hAnsiTheme="majorHAnsi"/>
              </w:rPr>
              <w:t>Address privacy and security; Understand the ecosystem</w:t>
            </w:r>
          </w:p>
        </w:tc>
      </w:tr>
    </w:tbl>
    <w:p w14:paraId="4F28C1C0" w14:textId="77777777" w:rsidR="001A5648" w:rsidRDefault="001A5648" w:rsidP="001A5648">
      <w:pPr>
        <w:rPr>
          <w:rFonts w:asciiTheme="majorHAnsi" w:hAnsiTheme="majorHAnsi"/>
          <w:b/>
        </w:rPr>
      </w:pPr>
    </w:p>
    <w:p w14:paraId="1C60F878" w14:textId="77777777" w:rsidR="001A5648" w:rsidRDefault="001A5648" w:rsidP="001A5648">
      <w:pPr>
        <w:rPr>
          <w:rFonts w:asciiTheme="majorHAnsi" w:hAnsiTheme="majorHAnsi"/>
          <w:b/>
        </w:rPr>
      </w:pPr>
      <w:r>
        <w:rPr>
          <w:rFonts w:asciiTheme="majorHAnsi" w:hAnsiTheme="majorHAnsi"/>
          <w:b/>
        </w:rPr>
        <w:t>Lessons Learned:</w:t>
      </w:r>
    </w:p>
    <w:p w14:paraId="699DB864" w14:textId="56220587" w:rsidR="001A5648" w:rsidRPr="004D152B" w:rsidRDefault="004D152B" w:rsidP="004D152B">
      <w:pPr>
        <w:pStyle w:val="ListParagraph"/>
        <w:numPr>
          <w:ilvl w:val="0"/>
          <w:numId w:val="18"/>
        </w:numPr>
        <w:rPr>
          <w:rFonts w:asciiTheme="majorHAnsi" w:hAnsiTheme="majorHAnsi"/>
          <w:b/>
        </w:rPr>
      </w:pPr>
      <w:r>
        <w:rPr>
          <w:rFonts w:asciiTheme="majorHAnsi" w:hAnsiTheme="majorHAnsi"/>
        </w:rPr>
        <w:t xml:space="preserve">Based on this review and the 2013 WHO survey, there appears to be a lack of legal frameworks in place to support privacy and security of health data. Some </w:t>
      </w:r>
      <w:r w:rsidR="00C56C60">
        <w:rPr>
          <w:rFonts w:asciiTheme="majorHAnsi" w:hAnsiTheme="majorHAnsi"/>
        </w:rPr>
        <w:t>countries have broad non-health-</w:t>
      </w:r>
      <w:r>
        <w:rPr>
          <w:rFonts w:asciiTheme="majorHAnsi" w:hAnsiTheme="majorHAnsi"/>
        </w:rPr>
        <w:t>specific privacy laws which could be interpolated for health data</w:t>
      </w:r>
      <w:r w:rsidR="001C4969">
        <w:rPr>
          <w:rFonts w:asciiTheme="majorHAnsi" w:hAnsiTheme="majorHAnsi"/>
        </w:rPr>
        <w:t>, but this may not be ideal</w:t>
      </w:r>
      <w:r>
        <w:rPr>
          <w:rFonts w:asciiTheme="majorHAnsi" w:hAnsiTheme="majorHAnsi"/>
        </w:rPr>
        <w:t>. In many places where legal frameworks do not exist, contractual obligations of individual implementations or pilots have established the privacy and security protocols.</w:t>
      </w:r>
      <w:r w:rsidR="00A9731F">
        <w:rPr>
          <w:rFonts w:asciiTheme="majorHAnsi" w:hAnsiTheme="majorHAnsi"/>
        </w:rPr>
        <w:t xml:space="preserve"> These findings indicate that examp</w:t>
      </w:r>
      <w:r w:rsidR="006F1394">
        <w:rPr>
          <w:rFonts w:asciiTheme="majorHAnsi" w:hAnsiTheme="majorHAnsi"/>
        </w:rPr>
        <w:t>lar</w:t>
      </w:r>
      <w:r w:rsidR="00A9731F">
        <w:rPr>
          <w:rFonts w:asciiTheme="majorHAnsi" w:hAnsiTheme="majorHAnsi"/>
        </w:rPr>
        <w:t xml:space="preserve"> legal frameworks may help country decision-makers leverage the best practices of others in building a foundation for privacy and security.</w:t>
      </w:r>
    </w:p>
    <w:p w14:paraId="2A7ECDE7" w14:textId="77777777" w:rsidR="00222DC1" w:rsidRDefault="00222DC1" w:rsidP="003E688F">
      <w:pPr>
        <w:jc w:val="center"/>
        <w:rPr>
          <w:rFonts w:asciiTheme="majorHAnsi" w:hAnsiTheme="majorHAnsi"/>
          <w:b/>
          <w:sz w:val="28"/>
          <w:szCs w:val="28"/>
        </w:rPr>
      </w:pPr>
    </w:p>
    <w:p w14:paraId="5DADDB53" w14:textId="77777777" w:rsidR="003E688F" w:rsidRDefault="003E688F" w:rsidP="003E688F">
      <w:pPr>
        <w:jc w:val="center"/>
        <w:rPr>
          <w:rFonts w:asciiTheme="majorHAnsi" w:hAnsiTheme="majorHAnsi"/>
          <w:b/>
          <w:sz w:val="28"/>
          <w:szCs w:val="28"/>
        </w:rPr>
        <w:sectPr w:rsidR="003E688F" w:rsidSect="00922F78">
          <w:footnotePr>
            <w:numFmt w:val="lowerLetter"/>
          </w:footnotePr>
          <w:pgSz w:w="15840" w:h="12240" w:orient="landscape"/>
          <w:pgMar w:top="1440" w:right="1440" w:bottom="1440" w:left="1440" w:header="720" w:footer="720" w:gutter="0"/>
          <w:cols w:space="720"/>
          <w:docGrid w:linePitch="360"/>
        </w:sectPr>
      </w:pPr>
    </w:p>
    <w:p w14:paraId="71C3F922" w14:textId="723AE0B6" w:rsidR="003E688F" w:rsidRPr="00C624DD" w:rsidRDefault="003E688F" w:rsidP="001908E6">
      <w:pPr>
        <w:pStyle w:val="ListParagraph"/>
        <w:numPr>
          <w:ilvl w:val="1"/>
          <w:numId w:val="10"/>
        </w:numPr>
        <w:jc w:val="center"/>
        <w:rPr>
          <w:rFonts w:asciiTheme="majorHAnsi" w:hAnsiTheme="majorHAnsi"/>
          <w:b/>
          <w:sz w:val="28"/>
          <w:szCs w:val="28"/>
        </w:rPr>
      </w:pPr>
      <w:bookmarkStart w:id="15" w:name="_Ref445202005"/>
      <w:bookmarkStart w:id="16" w:name="_Ref446328776"/>
      <w:r w:rsidRPr="00C624DD">
        <w:rPr>
          <w:rFonts w:asciiTheme="majorHAnsi" w:hAnsiTheme="majorHAnsi"/>
          <w:b/>
          <w:sz w:val="28"/>
          <w:szCs w:val="28"/>
        </w:rPr>
        <w:t>Key Area 6: HIE Policies &amp; Procedures – Data Use Agreements</w:t>
      </w:r>
      <w:bookmarkEnd w:id="15"/>
      <w:bookmarkEnd w:id="16"/>
    </w:p>
    <w:p w14:paraId="06398278" w14:textId="77777777" w:rsidR="003E688F" w:rsidRDefault="003E688F" w:rsidP="003E688F">
      <w:pPr>
        <w:jc w:val="center"/>
        <w:rPr>
          <w:rFonts w:asciiTheme="majorHAnsi" w:hAnsiTheme="majorHAnsi"/>
          <w:b/>
          <w:sz w:val="28"/>
          <w:szCs w:val="28"/>
        </w:rPr>
      </w:pPr>
    </w:p>
    <w:p w14:paraId="16BCC57A" w14:textId="77777777" w:rsidR="00F827C2" w:rsidRDefault="00B275C8" w:rsidP="00B275C8">
      <w:pPr>
        <w:rPr>
          <w:rFonts w:asciiTheme="majorHAnsi" w:hAnsiTheme="majorHAnsi"/>
        </w:rPr>
      </w:pPr>
      <w:r>
        <w:rPr>
          <w:rFonts w:asciiTheme="majorHAnsi" w:hAnsiTheme="majorHAnsi"/>
        </w:rPr>
        <w:t>Not all of the questions/decisions points will need to be addressed in every data use agreement. The applicability of each question/decision point will depend on the purpose or goal of the data use agreement</w:t>
      </w:r>
      <w:r w:rsidR="001B3D8A">
        <w:rPr>
          <w:rFonts w:asciiTheme="majorHAnsi" w:hAnsiTheme="majorHAnsi"/>
        </w:rPr>
        <w:t>;</w:t>
      </w:r>
      <w:r>
        <w:rPr>
          <w:rFonts w:asciiTheme="majorHAnsi" w:hAnsiTheme="majorHAnsi"/>
        </w:rPr>
        <w:t xml:space="preserve"> the parties involved</w:t>
      </w:r>
      <w:r w:rsidR="001B3D8A">
        <w:rPr>
          <w:rFonts w:asciiTheme="majorHAnsi" w:hAnsiTheme="majorHAnsi"/>
        </w:rPr>
        <w:t xml:space="preserve"> in the agreement;</w:t>
      </w:r>
      <w:r>
        <w:rPr>
          <w:rFonts w:asciiTheme="majorHAnsi" w:hAnsiTheme="majorHAnsi"/>
        </w:rPr>
        <w:t xml:space="preserve"> the structure of the health care system and the major stakeholders</w:t>
      </w:r>
      <w:r w:rsidR="001B3D8A">
        <w:rPr>
          <w:rFonts w:asciiTheme="majorHAnsi" w:hAnsiTheme="majorHAnsi"/>
        </w:rPr>
        <w:t>; the structure of the legal system;</w:t>
      </w:r>
      <w:r>
        <w:rPr>
          <w:rFonts w:asciiTheme="majorHAnsi" w:hAnsiTheme="majorHAnsi"/>
        </w:rPr>
        <w:t xml:space="preserve"> and cultural views on </w:t>
      </w:r>
      <w:r w:rsidR="001B3D8A">
        <w:rPr>
          <w:rFonts w:asciiTheme="majorHAnsi" w:hAnsiTheme="majorHAnsi"/>
        </w:rPr>
        <w:t>trust</w:t>
      </w:r>
      <w:r w:rsidR="005E2BE5">
        <w:rPr>
          <w:rFonts w:asciiTheme="majorHAnsi" w:hAnsiTheme="majorHAnsi"/>
        </w:rPr>
        <w:t xml:space="preserve"> and liability.</w:t>
      </w:r>
      <w:r w:rsidR="00746E9F">
        <w:rPr>
          <w:rFonts w:asciiTheme="majorHAnsi" w:hAnsiTheme="majorHAnsi"/>
        </w:rPr>
        <w:t xml:space="preserve"> </w:t>
      </w:r>
    </w:p>
    <w:p w14:paraId="4178BE3B" w14:textId="77777777" w:rsidR="00F827C2" w:rsidRDefault="00F827C2" w:rsidP="00B275C8">
      <w:pPr>
        <w:rPr>
          <w:rFonts w:asciiTheme="majorHAnsi" w:hAnsiTheme="majorHAnsi"/>
        </w:rPr>
      </w:pPr>
    </w:p>
    <w:p w14:paraId="4E35F057" w14:textId="06C6A922" w:rsidR="00B275C8" w:rsidRDefault="0081667B" w:rsidP="00B275C8">
      <w:pPr>
        <w:rPr>
          <w:rFonts w:asciiTheme="majorHAnsi" w:hAnsiTheme="majorHAnsi"/>
        </w:rPr>
      </w:pPr>
      <w:r>
        <w:rPr>
          <w:rFonts w:asciiTheme="majorHAnsi" w:hAnsiTheme="majorHAnsi"/>
        </w:rPr>
        <w:t xml:space="preserve">Table 4 presents a high-level comparison of six data use agreements. </w:t>
      </w:r>
      <w:r w:rsidR="00746E9F">
        <w:rPr>
          <w:rFonts w:asciiTheme="majorHAnsi" w:hAnsiTheme="majorHAnsi"/>
        </w:rPr>
        <w:t xml:space="preserve">All of the data use agreements examples presented </w:t>
      </w:r>
      <w:r w:rsidR="00F827C2">
        <w:rPr>
          <w:rFonts w:asciiTheme="majorHAnsi" w:hAnsiTheme="majorHAnsi"/>
        </w:rPr>
        <w:t>concern exclusively personally identifiable information</w:t>
      </w:r>
      <w:r w:rsidR="0057764E">
        <w:rPr>
          <w:rFonts w:asciiTheme="majorHAnsi" w:hAnsiTheme="majorHAnsi"/>
        </w:rPr>
        <w:t xml:space="preserve"> (PII)</w:t>
      </w:r>
      <w:r w:rsidR="00F827C2">
        <w:rPr>
          <w:rFonts w:asciiTheme="majorHAnsi" w:hAnsiTheme="majorHAnsi"/>
        </w:rPr>
        <w:t xml:space="preserve">, except for the MOU between Kambia District in Sierra Leone and </w:t>
      </w:r>
      <w:r w:rsidR="00942837">
        <w:rPr>
          <w:rFonts w:asciiTheme="majorHAnsi" w:hAnsiTheme="majorHAnsi"/>
        </w:rPr>
        <w:t xml:space="preserve">Forécariah </w:t>
      </w:r>
      <w:r w:rsidR="00F827C2">
        <w:rPr>
          <w:rFonts w:asciiTheme="majorHAnsi" w:hAnsiTheme="majorHAnsi"/>
        </w:rPr>
        <w:t>District in Guinea</w:t>
      </w:r>
      <w:r w:rsidR="00942837">
        <w:rPr>
          <w:rStyle w:val="FootnoteReference"/>
          <w:rFonts w:asciiTheme="majorHAnsi" w:hAnsiTheme="majorHAnsi"/>
        </w:rPr>
        <w:footnoteReference w:id="11"/>
      </w:r>
      <w:r w:rsidR="00F827C2">
        <w:rPr>
          <w:rFonts w:asciiTheme="majorHAnsi" w:hAnsiTheme="majorHAnsi"/>
        </w:rPr>
        <w:t xml:space="preserve"> which covers both individual data and aggregate data for Ebola surveillance.</w:t>
      </w:r>
      <w:r w:rsidR="006C3904">
        <w:rPr>
          <w:rFonts w:asciiTheme="majorHAnsi" w:hAnsiTheme="majorHAnsi"/>
        </w:rPr>
        <w:t xml:space="preserve"> </w:t>
      </w:r>
    </w:p>
    <w:p w14:paraId="0652177F" w14:textId="77777777" w:rsidR="00B275C8" w:rsidRPr="00B275C8" w:rsidRDefault="00B275C8" w:rsidP="00B275C8">
      <w:pPr>
        <w:rPr>
          <w:rFonts w:asciiTheme="majorHAnsi" w:hAnsiTheme="majorHAnsi"/>
        </w:rPr>
      </w:pPr>
    </w:p>
    <w:tbl>
      <w:tblPr>
        <w:tblStyle w:val="LightGrid-Accent1"/>
        <w:tblW w:w="0" w:type="auto"/>
        <w:tblLook w:val="04A0" w:firstRow="1" w:lastRow="0" w:firstColumn="1" w:lastColumn="0" w:noHBand="0" w:noVBand="1"/>
      </w:tblPr>
      <w:tblGrid>
        <w:gridCol w:w="2540"/>
        <w:gridCol w:w="2693"/>
        <w:gridCol w:w="3661"/>
        <w:gridCol w:w="2291"/>
        <w:gridCol w:w="1991"/>
      </w:tblGrid>
      <w:tr w:rsidR="00222DC1" w:rsidRPr="00B10980" w14:paraId="5DA26728" w14:textId="77777777" w:rsidTr="00E93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0" w:type="dxa"/>
          </w:tcPr>
          <w:p w14:paraId="674EE579" w14:textId="77777777" w:rsidR="00222DC1" w:rsidRPr="00B10980" w:rsidRDefault="00222DC1" w:rsidP="00D51A5C">
            <w:pPr>
              <w:jc w:val="center"/>
            </w:pPr>
            <w:r w:rsidRPr="00B10980">
              <w:t>Theme</w:t>
            </w:r>
          </w:p>
        </w:tc>
        <w:tc>
          <w:tcPr>
            <w:tcW w:w="2693" w:type="dxa"/>
          </w:tcPr>
          <w:p w14:paraId="58C62F6B" w14:textId="64C8D1B9" w:rsidR="00222DC1" w:rsidRPr="00B10980" w:rsidRDefault="009D2B27" w:rsidP="00D51A5C">
            <w:pPr>
              <w:jc w:val="center"/>
              <w:cnfStyle w:val="100000000000" w:firstRow="1" w:lastRow="0" w:firstColumn="0" w:lastColumn="0" w:oddVBand="0" w:evenVBand="0" w:oddHBand="0" w:evenHBand="0" w:firstRowFirstColumn="0" w:firstRowLastColumn="0" w:lastRowFirstColumn="0" w:lastRowLastColumn="0"/>
            </w:pPr>
            <w:r w:rsidRPr="00B10980">
              <w:t xml:space="preserve">Exemplar </w:t>
            </w:r>
            <w:r w:rsidR="00222DC1" w:rsidRPr="00B10980">
              <w:t>Question/Decision Point(s)</w:t>
            </w:r>
          </w:p>
        </w:tc>
        <w:tc>
          <w:tcPr>
            <w:tcW w:w="3661" w:type="dxa"/>
          </w:tcPr>
          <w:p w14:paraId="4615FB41" w14:textId="77777777" w:rsidR="00222DC1" w:rsidRPr="00B10980"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B10980">
              <w:t>Example Option</w:t>
            </w:r>
          </w:p>
        </w:tc>
        <w:tc>
          <w:tcPr>
            <w:tcW w:w="2291" w:type="dxa"/>
          </w:tcPr>
          <w:p w14:paraId="5454CF38" w14:textId="0398A792" w:rsidR="00222DC1" w:rsidRPr="00B10980"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B10980">
              <w:t>Where Implemented or Planned</w:t>
            </w:r>
            <w:r w:rsidR="004C3278">
              <w:rPr>
                <w:rStyle w:val="FootnoteReference"/>
              </w:rPr>
              <w:footnoteReference w:id="12"/>
            </w:r>
          </w:p>
        </w:tc>
        <w:tc>
          <w:tcPr>
            <w:tcW w:w="1991" w:type="dxa"/>
          </w:tcPr>
          <w:p w14:paraId="549E72AE" w14:textId="77777777" w:rsidR="00222DC1" w:rsidRPr="00B10980"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B10980">
              <w:t>Digital Development Principle(s)</w:t>
            </w:r>
          </w:p>
        </w:tc>
      </w:tr>
      <w:tr w:rsidR="00711025" w:rsidRPr="00035060" w14:paraId="0F352305" w14:textId="77777777" w:rsidTr="00E9366F">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79D6D2E9" w14:textId="178D45A8" w:rsidR="00711025" w:rsidRPr="00035060" w:rsidRDefault="00711025" w:rsidP="00035060">
            <w:r>
              <w:t>Data Use Agreement</w:t>
            </w:r>
          </w:p>
        </w:tc>
        <w:tc>
          <w:tcPr>
            <w:tcW w:w="2693" w:type="dxa"/>
            <w:vMerge w:val="restart"/>
          </w:tcPr>
          <w:p w14:paraId="41662F27" w14:textId="171447A3" w:rsidR="00711025" w:rsidRPr="00035060" w:rsidRDefault="00711025" w:rsidP="00D30CB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What is the anticipated use of data – site-to-site sharing or regional/national data sharing, and what type of data sharing agreement may be needed to support the outcome? For site-to-site data sharing, consider point-to-point agreements. For regional/national data sharing, consider multi-party data use and exchange agreements.</w:t>
            </w:r>
          </w:p>
        </w:tc>
        <w:tc>
          <w:tcPr>
            <w:tcW w:w="3661" w:type="dxa"/>
          </w:tcPr>
          <w:p w14:paraId="082BC469" w14:textId="09AC2404" w:rsidR="00711025" w:rsidRPr="00035060"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 data use agreement in place. The MoH is the main decision-making party and there has not been a need for an agreement for intra-country data sharing thus far.</w:t>
            </w:r>
          </w:p>
        </w:tc>
        <w:tc>
          <w:tcPr>
            <w:tcW w:w="2291" w:type="dxa"/>
          </w:tcPr>
          <w:p w14:paraId="64BD0BDE" w14:textId="0E533148" w:rsidR="00711025" w:rsidRDefault="00A95B9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p w14:paraId="437D1FE3"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23D11F2"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BE63984"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21AB070" w14:textId="32C5B538" w:rsidR="00711025" w:rsidRPr="00035060"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val="restart"/>
          </w:tcPr>
          <w:p w14:paraId="24EF6652" w14:textId="1CEB9148" w:rsidR="00711025" w:rsidRPr="00035060" w:rsidRDefault="00711025"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F41FE">
              <w:rPr>
                <w:rFonts w:asciiTheme="majorHAnsi" w:hAnsiTheme="majorHAnsi"/>
              </w:rPr>
              <w:t>Understand the ecosystem; Address privacy and security</w:t>
            </w:r>
            <w:r>
              <w:rPr>
                <w:rFonts w:asciiTheme="majorHAnsi" w:hAnsiTheme="majorHAnsi"/>
              </w:rPr>
              <w:t>; Design for scale; Be collaborative</w:t>
            </w:r>
          </w:p>
        </w:tc>
      </w:tr>
      <w:tr w:rsidR="00711025" w:rsidRPr="00035060" w14:paraId="5CD36140" w14:textId="77777777" w:rsidTr="00E9366F">
        <w:trPr>
          <w:cnfStyle w:val="000000010000" w:firstRow="0" w:lastRow="0" w:firstColumn="0" w:lastColumn="0" w:oddVBand="0" w:evenVBand="0" w:oddHBand="0" w:evenHBand="1"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540" w:type="dxa"/>
            <w:vMerge/>
          </w:tcPr>
          <w:p w14:paraId="46454BF2" w14:textId="77777777" w:rsidR="00711025" w:rsidRDefault="00711025" w:rsidP="00035060"/>
        </w:tc>
        <w:tc>
          <w:tcPr>
            <w:tcW w:w="2693" w:type="dxa"/>
            <w:vMerge/>
          </w:tcPr>
          <w:p w14:paraId="6B7F4D51" w14:textId="77777777"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0DC6046E" w14:textId="27236F14"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Data use agreement in place between the MoH, Ministry of ICT, and the national insurance corporation. (point-to-point) However, the agreement specifies requirements of participation for providers in the network.</w:t>
            </w:r>
          </w:p>
        </w:tc>
        <w:tc>
          <w:tcPr>
            <w:tcW w:w="2291" w:type="dxa"/>
          </w:tcPr>
          <w:p w14:paraId="4F9143AC" w14:textId="289645EA" w:rsidR="00711025" w:rsidRDefault="00A95B9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p w14:paraId="12DE020B" w14:textId="77777777"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6A010A54" w14:textId="77777777"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00A4A7F0" w14:textId="125DD28C"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91" w:type="dxa"/>
            <w:vMerge/>
          </w:tcPr>
          <w:p w14:paraId="47CB499A" w14:textId="77777777" w:rsidR="00711025" w:rsidRPr="009F41FE" w:rsidRDefault="00711025" w:rsidP="0003470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711025" w:rsidRPr="00035060" w14:paraId="5A6FB6CA" w14:textId="77777777" w:rsidTr="00E9366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40" w:type="dxa"/>
            <w:vMerge/>
          </w:tcPr>
          <w:p w14:paraId="5367CE22" w14:textId="77777777" w:rsidR="00711025" w:rsidRDefault="00711025" w:rsidP="00035060"/>
        </w:tc>
        <w:tc>
          <w:tcPr>
            <w:tcW w:w="2693" w:type="dxa"/>
            <w:vMerge/>
          </w:tcPr>
          <w:p w14:paraId="505BC258"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6B3B9B8F" w14:textId="3DB4CE5E"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Formal MOU agreement between the social health insurance bureau and primary health centers must be signed by the District Health Office Director. (appears to be multi-party)</w:t>
            </w:r>
          </w:p>
        </w:tc>
        <w:tc>
          <w:tcPr>
            <w:tcW w:w="2291" w:type="dxa"/>
          </w:tcPr>
          <w:p w14:paraId="3CD6B1E3" w14:textId="2804E2AC" w:rsidR="00711025" w:rsidRDefault="00A95B9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p w14:paraId="13731A86"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7C5D6B5"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BCA98B8"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8CBA4DF" w14:textId="523862E3"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tcPr>
          <w:p w14:paraId="6780FCD0" w14:textId="77777777" w:rsidR="00711025" w:rsidRPr="009F41FE" w:rsidRDefault="00711025"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711025" w:rsidRPr="00035060" w14:paraId="25587DFA" w14:textId="77777777" w:rsidTr="00E9366F">
        <w:trPr>
          <w:cnfStyle w:val="000000010000" w:firstRow="0" w:lastRow="0" w:firstColumn="0" w:lastColumn="0" w:oddVBand="0" w:evenVBand="0" w:oddHBand="0" w:evenHBand="1" w:firstRowFirstColumn="0" w:firstRowLastColumn="0" w:lastRowFirstColumn="0" w:lastRowLastColumn="0"/>
          <w:trHeight w:val="2483"/>
        </w:trPr>
        <w:tc>
          <w:tcPr>
            <w:cnfStyle w:val="001000000000" w:firstRow="0" w:lastRow="0" w:firstColumn="1" w:lastColumn="0" w:oddVBand="0" w:evenVBand="0" w:oddHBand="0" w:evenHBand="0" w:firstRowFirstColumn="0" w:firstRowLastColumn="0" w:lastRowFirstColumn="0" w:lastRowLastColumn="0"/>
            <w:tcW w:w="2540" w:type="dxa"/>
            <w:vMerge/>
          </w:tcPr>
          <w:p w14:paraId="79D49EB5" w14:textId="77777777" w:rsidR="00711025" w:rsidRDefault="00711025" w:rsidP="00035060"/>
        </w:tc>
        <w:tc>
          <w:tcPr>
            <w:tcW w:w="2693" w:type="dxa"/>
            <w:vMerge/>
          </w:tcPr>
          <w:p w14:paraId="6CD98996" w14:textId="77777777"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70804370" w14:textId="6FA81E39" w:rsidR="00711025" w:rsidRDefault="0071102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Data use agreement in place between two districts sharing a country border for sharing of Ebola surveillance data. (point-to-point) Note this agreement also includes stipulations for sharing of physical resources (e.g., ambulances, laboratories, staff – surveillance and funeral teams).</w:t>
            </w:r>
          </w:p>
        </w:tc>
        <w:tc>
          <w:tcPr>
            <w:tcW w:w="2291" w:type="dxa"/>
          </w:tcPr>
          <w:p w14:paraId="03A81AF3" w14:textId="572983FD" w:rsidR="00711025" w:rsidRDefault="00A95B9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1991" w:type="dxa"/>
            <w:vMerge/>
          </w:tcPr>
          <w:p w14:paraId="631E881C" w14:textId="77777777" w:rsidR="00711025" w:rsidRPr="009F41FE" w:rsidRDefault="00711025" w:rsidP="0003470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711025" w:rsidRPr="00035060" w14:paraId="040B3FAD" w14:textId="77777777" w:rsidTr="00711025">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540" w:type="dxa"/>
            <w:vMerge/>
          </w:tcPr>
          <w:p w14:paraId="36A311F1" w14:textId="77777777" w:rsidR="00711025" w:rsidRDefault="00711025" w:rsidP="00035060"/>
        </w:tc>
        <w:tc>
          <w:tcPr>
            <w:tcW w:w="2693" w:type="dxa"/>
            <w:vMerge/>
          </w:tcPr>
          <w:p w14:paraId="28F4163B" w14:textId="77777777"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37059A72" w14:textId="6D832EFE" w:rsidR="00711025" w:rsidRDefault="0071102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Scalable, multi-</w:t>
            </w:r>
            <w:r w:rsidR="00B70C34">
              <w:rPr>
                <w:rFonts w:asciiTheme="majorHAnsi" w:hAnsiTheme="majorHAnsi"/>
              </w:rPr>
              <w:t xml:space="preserve">party </w:t>
            </w:r>
            <w:r>
              <w:rPr>
                <w:rFonts w:asciiTheme="majorHAnsi" w:hAnsiTheme="majorHAnsi"/>
              </w:rPr>
              <w:t>trust agreement for a data sharing network</w:t>
            </w:r>
            <w:r w:rsidR="00B70C34">
              <w:rPr>
                <w:rFonts w:asciiTheme="majorHAnsi" w:hAnsiTheme="majorHAnsi"/>
              </w:rPr>
              <w:t xml:space="preserve"> and data sharing between different networks</w:t>
            </w:r>
          </w:p>
        </w:tc>
        <w:tc>
          <w:tcPr>
            <w:tcW w:w="2291" w:type="dxa"/>
          </w:tcPr>
          <w:p w14:paraId="6D02C60D" w14:textId="7E9702AE" w:rsidR="00711025" w:rsidRDefault="000A7288" w:rsidP="00B70C3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1E74DB3C" w14:textId="77777777" w:rsidR="00711025" w:rsidRPr="009F41FE" w:rsidRDefault="00711025"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D62E9" w:rsidRPr="00035060" w14:paraId="25CCE763" w14:textId="77777777" w:rsidTr="00E9366F">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49D9DA44" w14:textId="31EE0C17" w:rsidR="00CD62E9" w:rsidRDefault="00CD62E9" w:rsidP="005774CE">
            <w:r>
              <w:t>Laws and Regulations</w:t>
            </w:r>
          </w:p>
        </w:tc>
        <w:tc>
          <w:tcPr>
            <w:tcW w:w="2693" w:type="dxa"/>
            <w:vMerge w:val="restart"/>
          </w:tcPr>
          <w:p w14:paraId="459736DA" w14:textId="0ECE2808" w:rsidR="00CD62E9" w:rsidRDefault="00CD62E9" w:rsidP="0057764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Are there existing laws and regulations that establish baseline compliance requirements for protection of PII? What legal tools can be leveraged to protect PII?</w:t>
            </w:r>
          </w:p>
        </w:tc>
        <w:tc>
          <w:tcPr>
            <w:tcW w:w="3661" w:type="dxa"/>
          </w:tcPr>
          <w:p w14:paraId="49417138" w14:textId="77777777" w:rsidR="00CD62E9" w:rsidRDefault="00CD62E9" w:rsidP="0019119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Per </w:t>
            </w:r>
            <w:hyperlink r:id="rId37" w:history="1">
              <w:r w:rsidRPr="0018506E">
                <w:rPr>
                  <w:rStyle w:val="Hyperlink"/>
                  <w:rFonts w:asciiTheme="majorHAnsi" w:hAnsiTheme="majorHAnsi"/>
                </w:rPr>
                <w:t>WHO 2013 survey</w:t>
              </w:r>
            </w:hyperlink>
            <w:r>
              <w:rPr>
                <w:rFonts w:asciiTheme="majorHAnsi" w:hAnsiTheme="majorHAnsi"/>
              </w:rPr>
              <w:t xml:space="preserve"> of 75 countries:</w:t>
            </w:r>
          </w:p>
          <w:p w14:paraId="6EA142CA" w14:textId="77777777" w:rsidR="00CD62E9" w:rsidRDefault="00CD62E9" w:rsidP="0019119E">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Laws to protect PII irrespective of format (paper or electronic): 10 of 28 (36%) in this review indicated laws in place</w:t>
            </w:r>
          </w:p>
          <w:p w14:paraId="061E7A79" w14:textId="77777777" w:rsidR="00CD62E9" w:rsidRDefault="00CD62E9" w:rsidP="0011364D">
            <w:pPr>
              <w:pStyle w:val="ListParagraph"/>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A4D16F3" w14:textId="77777777" w:rsidR="00CD62E9" w:rsidRDefault="00CD62E9" w:rsidP="0011364D">
            <w:pPr>
              <w:pStyle w:val="ListParagraph"/>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A763B72" w14:textId="77777777" w:rsidR="00CD62E9" w:rsidRDefault="00CD62E9" w:rsidP="0011364D">
            <w:pPr>
              <w:pStyle w:val="ListParagraph"/>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04D37616" w14:textId="77777777" w:rsidR="00CD62E9" w:rsidRDefault="00CD62E9" w:rsidP="0011364D">
            <w:pPr>
              <w:pStyle w:val="ListParagraph"/>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2845FE87" w14:textId="77777777" w:rsidR="00CD62E9" w:rsidRDefault="00CD62E9" w:rsidP="0011364D">
            <w:pPr>
              <w:pStyle w:val="ListParagraph"/>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5201300" w14:textId="67552D90" w:rsidR="00CD62E9" w:rsidRPr="0011364D" w:rsidRDefault="00CD62E9" w:rsidP="0011364D">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1364D">
              <w:rPr>
                <w:rFonts w:asciiTheme="majorHAnsi" w:hAnsiTheme="majorHAnsi"/>
              </w:rPr>
              <w:t xml:space="preserve">Laws to protect electronic </w:t>
            </w:r>
            <w:r>
              <w:rPr>
                <w:rFonts w:asciiTheme="majorHAnsi" w:hAnsiTheme="majorHAnsi"/>
              </w:rPr>
              <w:t xml:space="preserve">PII </w:t>
            </w:r>
            <w:r w:rsidRPr="0011364D">
              <w:rPr>
                <w:rFonts w:asciiTheme="majorHAnsi" w:hAnsiTheme="majorHAnsi"/>
              </w:rPr>
              <w:t>health data: 4 of 28 (14%) in this review indicated laws in place</w:t>
            </w:r>
          </w:p>
        </w:tc>
        <w:tc>
          <w:tcPr>
            <w:tcW w:w="2291" w:type="dxa"/>
          </w:tcPr>
          <w:p w14:paraId="122281D3" w14:textId="77777777" w:rsidR="00CD62E9" w:rsidRDefault="00CD62E9" w:rsidP="0019119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0DB3F76" w14:textId="77777777" w:rsidR="00CD62E9" w:rsidRDefault="00CD62E9" w:rsidP="0019119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3C70148D" w14:textId="77777777" w:rsidR="00CD62E9" w:rsidRDefault="00CD62E9" w:rsidP="0019119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Countries with laws to protect PII irrespective of format: Ghana, Haiti, India, Indonesia, Philippines, Sierra Leone, South Africa, Tanzania, Uganda, Vietnam</w:t>
            </w:r>
          </w:p>
          <w:p w14:paraId="4A85BD9E" w14:textId="6FFF61D8" w:rsidR="00CD62E9" w:rsidRDefault="00CD62E9" w:rsidP="007F753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Countries with laws to protect electronic health data: Ghana, Indonesia, Peru, Rwanda</w:t>
            </w:r>
          </w:p>
        </w:tc>
        <w:tc>
          <w:tcPr>
            <w:tcW w:w="1991" w:type="dxa"/>
            <w:vMerge w:val="restart"/>
          </w:tcPr>
          <w:p w14:paraId="07C82F58" w14:textId="1F939FAF" w:rsidR="00CD62E9" w:rsidRPr="009F41FE" w:rsidRDefault="00CD62E9" w:rsidP="0003470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9F41FE">
              <w:rPr>
                <w:rFonts w:asciiTheme="majorHAnsi" w:hAnsiTheme="majorHAnsi"/>
              </w:rPr>
              <w:t>Understand the ecosystem; Address privacy and security</w:t>
            </w:r>
          </w:p>
        </w:tc>
      </w:tr>
      <w:tr w:rsidR="00CD62E9" w:rsidRPr="00035060" w14:paraId="3AB2AF8E" w14:textId="77777777" w:rsidTr="00E9366F">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540" w:type="dxa"/>
            <w:vMerge/>
          </w:tcPr>
          <w:p w14:paraId="4E42D418" w14:textId="77777777" w:rsidR="00CD62E9" w:rsidRDefault="00CD62E9" w:rsidP="00035060"/>
        </w:tc>
        <w:tc>
          <w:tcPr>
            <w:tcW w:w="2693" w:type="dxa"/>
            <w:vMerge/>
          </w:tcPr>
          <w:p w14:paraId="74CF7EF2" w14:textId="77777777" w:rsidR="00CD62E9" w:rsidRDefault="00CD62E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50E2EA3C" w14:textId="77777777" w:rsidR="00CD62E9" w:rsidRDefault="00CD62E9" w:rsidP="0011364D">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Health Insurance Portability and Accountability Act (HIPAA)</w:t>
            </w:r>
          </w:p>
          <w:p w14:paraId="28007CA6" w14:textId="77777777" w:rsidR="00CD62E9" w:rsidRDefault="00CD62E9" w:rsidP="0011364D">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35BAA819" w14:textId="77777777" w:rsidR="00CD62E9" w:rsidRDefault="00CD62E9" w:rsidP="0011364D">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7460F23" w14:textId="626ECCA4" w:rsidR="00CD62E9" w:rsidRPr="0011364D" w:rsidRDefault="00CD62E9" w:rsidP="0011364D">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291" w:type="dxa"/>
          </w:tcPr>
          <w:p w14:paraId="35BF8A0E" w14:textId="3D3999C8" w:rsidR="00CD62E9" w:rsidRDefault="00E1080C" w:rsidP="00B70C3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10201AD9" w14:textId="77777777" w:rsidR="00CD62E9" w:rsidRPr="009F41FE" w:rsidRDefault="00CD62E9"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D62E9" w:rsidRPr="00035060" w14:paraId="34CB304F" w14:textId="77777777" w:rsidTr="00E9366F">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540" w:type="dxa"/>
            <w:vMerge/>
          </w:tcPr>
          <w:p w14:paraId="7CFA1A04" w14:textId="77777777" w:rsidR="00CD62E9" w:rsidRDefault="00CD62E9" w:rsidP="00035060"/>
        </w:tc>
        <w:tc>
          <w:tcPr>
            <w:tcW w:w="2693" w:type="dxa"/>
            <w:vMerge/>
          </w:tcPr>
          <w:p w14:paraId="21C5089F" w14:textId="77777777" w:rsidR="00CD62E9" w:rsidRDefault="00CD62E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1EE892E8" w14:textId="365E805A" w:rsidR="00CD62E9" w:rsidRDefault="00CD62E9" w:rsidP="0011364D">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HIPAA and additional applicable federal laws applicable to federal agencies</w:t>
            </w:r>
          </w:p>
        </w:tc>
        <w:tc>
          <w:tcPr>
            <w:tcW w:w="2291" w:type="dxa"/>
          </w:tcPr>
          <w:p w14:paraId="5B588B46" w14:textId="65CD5AAE" w:rsidR="00CD62E9" w:rsidRDefault="00E1080C" w:rsidP="0011364D">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6EE3D0B9" w14:textId="77777777" w:rsidR="00CD62E9" w:rsidRPr="009F41FE" w:rsidRDefault="00CD62E9" w:rsidP="0003470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E1876" w:rsidRPr="00035060" w14:paraId="5E44B15E" w14:textId="77777777" w:rsidTr="00E9366F">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5554593D" w14:textId="26E9C68B" w:rsidR="00CE1876" w:rsidRDefault="00CE1876" w:rsidP="00035060">
            <w:r>
              <w:t>Use Cases</w:t>
            </w:r>
          </w:p>
        </w:tc>
        <w:tc>
          <w:tcPr>
            <w:tcW w:w="2693" w:type="dxa"/>
            <w:vMerge w:val="restart"/>
          </w:tcPr>
          <w:p w14:paraId="1FF04C2F" w14:textId="54F7155B"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 there a specified or limited number of purposes for exchange? (e.g., clinical care, administrative needs, financial needs, monitoring and evaluation, public health/population health including disease and surveillance reporting, research)</w:t>
            </w:r>
          </w:p>
        </w:tc>
        <w:tc>
          <w:tcPr>
            <w:tcW w:w="3661" w:type="dxa"/>
          </w:tcPr>
          <w:p w14:paraId="0DB10591" w14:textId="59EB7566"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Ebola data for public health surveillance</w:t>
            </w:r>
          </w:p>
          <w:p w14:paraId="60A77B71" w14:textId="1758B0DD" w:rsidR="00CE1876" w:rsidRPr="00035060"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291" w:type="dxa"/>
          </w:tcPr>
          <w:p w14:paraId="14378C20" w14:textId="121CBAED" w:rsidR="00CE1876" w:rsidRPr="00035060" w:rsidRDefault="00E1080C"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tc>
        <w:tc>
          <w:tcPr>
            <w:tcW w:w="1991" w:type="dxa"/>
            <w:vMerge w:val="restart"/>
          </w:tcPr>
          <w:p w14:paraId="32075495" w14:textId="1C43000F" w:rsidR="00CE1876" w:rsidRPr="00035060" w:rsidRDefault="00CE1876"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F41FE">
              <w:rPr>
                <w:rFonts w:asciiTheme="majorHAnsi" w:hAnsiTheme="majorHAnsi"/>
              </w:rPr>
              <w:t>Understand the ecosystem; Address privacy and security</w:t>
            </w:r>
            <w:r>
              <w:rPr>
                <w:rFonts w:asciiTheme="majorHAnsi" w:hAnsiTheme="majorHAnsi"/>
              </w:rPr>
              <w:t>; Design with the user; Be collaborative</w:t>
            </w:r>
          </w:p>
        </w:tc>
      </w:tr>
      <w:tr w:rsidR="00CE1876" w:rsidRPr="00035060" w14:paraId="295FD6A9" w14:textId="77777777" w:rsidTr="00E9366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40" w:type="dxa"/>
            <w:vMerge/>
          </w:tcPr>
          <w:p w14:paraId="4CBB45E1" w14:textId="77777777" w:rsidR="00CE1876" w:rsidRDefault="00CE1876" w:rsidP="00035060"/>
        </w:tc>
        <w:tc>
          <w:tcPr>
            <w:tcW w:w="2693" w:type="dxa"/>
            <w:vMerge/>
          </w:tcPr>
          <w:p w14:paraId="4774A367" w14:textId="77777777" w:rsidR="00CE1876" w:rsidRDefault="00CE1876"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60AD7803" w14:textId="4DFC1511" w:rsidR="00CE1876" w:rsidRDefault="00CE1876"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Insurance status validation and individual patient clinical data exchange for treatment</w:t>
            </w:r>
          </w:p>
        </w:tc>
        <w:tc>
          <w:tcPr>
            <w:tcW w:w="2291" w:type="dxa"/>
          </w:tcPr>
          <w:p w14:paraId="79E203DF" w14:textId="733BD748" w:rsidR="00CE1876" w:rsidRDefault="00DC76F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tc>
        <w:tc>
          <w:tcPr>
            <w:tcW w:w="1991" w:type="dxa"/>
            <w:vMerge/>
          </w:tcPr>
          <w:p w14:paraId="6EBB7AB8" w14:textId="77777777" w:rsidR="00CE1876" w:rsidRDefault="00CE1876" w:rsidP="0003470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E1876" w:rsidRPr="00035060" w14:paraId="317438B5" w14:textId="77777777" w:rsidTr="001044F2">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540" w:type="dxa"/>
            <w:vMerge/>
          </w:tcPr>
          <w:p w14:paraId="6A19BF1D" w14:textId="77777777" w:rsidR="00CE1876" w:rsidRDefault="00CE1876" w:rsidP="00035060"/>
        </w:tc>
        <w:tc>
          <w:tcPr>
            <w:tcW w:w="2693" w:type="dxa"/>
            <w:vMerge/>
          </w:tcPr>
          <w:p w14:paraId="78C5AB66" w14:textId="77777777"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524D6F86" w14:textId="59BEE668" w:rsidR="00CE1876" w:rsidRDefault="00CE1876" w:rsidP="00E16AB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Initial focus on harmonization of applications and HIS. Then as approved, expansion to individual patient-level exchange for treatment and population/public health in support of Universal Health Coverage (e.g., delivery of laboratory results, exchange of continuity of care documents, medication documentation).</w:t>
            </w:r>
          </w:p>
        </w:tc>
        <w:tc>
          <w:tcPr>
            <w:tcW w:w="2291" w:type="dxa"/>
          </w:tcPr>
          <w:p w14:paraId="4A452CE9" w14:textId="0B9A0A5D" w:rsidR="00CE1876" w:rsidRDefault="004776CD"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p w14:paraId="5AD8D1A4" w14:textId="77777777"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AEF691A" w14:textId="77777777"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FBC511A" w14:textId="4AD536BC"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tcPr>
          <w:p w14:paraId="76804216" w14:textId="4A32DC87" w:rsidR="00CE1876" w:rsidRPr="009F41FE" w:rsidRDefault="00CE1876"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E1876" w:rsidRPr="00035060" w14:paraId="33BE9BD0" w14:textId="77777777" w:rsidTr="00E9366F">
        <w:trPr>
          <w:cnfStyle w:val="000000010000" w:firstRow="0" w:lastRow="0" w:firstColumn="0" w:lastColumn="0" w:oddVBand="0" w:evenVBand="0" w:oddHBand="0" w:evenHBand="1"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2540" w:type="dxa"/>
            <w:vMerge/>
          </w:tcPr>
          <w:p w14:paraId="7CA7F7EE" w14:textId="77777777" w:rsidR="00CE1876" w:rsidRDefault="00CE1876" w:rsidP="00035060"/>
        </w:tc>
        <w:tc>
          <w:tcPr>
            <w:tcW w:w="2693" w:type="dxa"/>
            <w:vMerge/>
          </w:tcPr>
          <w:p w14:paraId="52DF600B" w14:textId="77777777" w:rsidR="00CE1876" w:rsidRDefault="00CE1876"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5E746621" w14:textId="41C70747" w:rsidR="00CE1876" w:rsidRDefault="00CE1876"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 number of use cases – individual treatment, payment activities, limited health care operations, public health activities and reporting, to demonstrate “meaningful use,” and uses and disclosures pursuant an authorization</w:t>
            </w:r>
          </w:p>
        </w:tc>
        <w:tc>
          <w:tcPr>
            <w:tcW w:w="2291" w:type="dxa"/>
          </w:tcPr>
          <w:p w14:paraId="327EDB8D" w14:textId="60465B3C" w:rsidR="00CE1876" w:rsidRDefault="004776CD"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47B988B6" w14:textId="77777777" w:rsidR="00CE1876" w:rsidRDefault="00CE1876" w:rsidP="0003470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E1876" w:rsidRPr="00035060" w14:paraId="155ED560" w14:textId="77777777" w:rsidTr="00E9366F">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2540" w:type="dxa"/>
            <w:vMerge/>
          </w:tcPr>
          <w:p w14:paraId="27BA5E0C" w14:textId="77777777" w:rsidR="00CE1876" w:rsidRDefault="00CE1876" w:rsidP="00035060"/>
        </w:tc>
        <w:tc>
          <w:tcPr>
            <w:tcW w:w="2693" w:type="dxa"/>
            <w:vMerge/>
          </w:tcPr>
          <w:p w14:paraId="33B6B5DF" w14:textId="77777777" w:rsidR="00CE1876" w:rsidRDefault="00CE187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036BF8BE" w14:textId="70E2A453" w:rsidR="00CE1876" w:rsidRDefault="00CE1876" w:rsidP="00CE187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For treatment, to exchange data to meet requirements for federal “meaningful use” incentive program, to provide patients access to their data</w:t>
            </w:r>
          </w:p>
        </w:tc>
        <w:tc>
          <w:tcPr>
            <w:tcW w:w="2291" w:type="dxa"/>
          </w:tcPr>
          <w:p w14:paraId="6032447F" w14:textId="0626F34D" w:rsidR="00CE1876" w:rsidRDefault="0086219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037AB42D" w14:textId="77777777" w:rsidR="00CE1876" w:rsidRDefault="00CE1876" w:rsidP="000347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7D2910" w:rsidRPr="00035060" w14:paraId="1128050B" w14:textId="77777777" w:rsidTr="00E9366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63A227A8" w14:textId="637BF82B" w:rsidR="007D2910" w:rsidRDefault="007D2910" w:rsidP="00035060">
            <w:r>
              <w:t>Use Cases</w:t>
            </w:r>
          </w:p>
        </w:tc>
        <w:tc>
          <w:tcPr>
            <w:tcW w:w="2693" w:type="dxa"/>
            <w:vMerge w:val="restart"/>
          </w:tcPr>
          <w:p w14:paraId="5ED848DF" w14:textId="15E26E29" w:rsidR="007D2910" w:rsidRDefault="00AF35CB"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Is there any anticipated secondary reuse or re-exchange of data</w:t>
            </w:r>
            <w:r w:rsidR="007D2910">
              <w:rPr>
                <w:rFonts w:asciiTheme="majorHAnsi" w:hAnsiTheme="majorHAnsi"/>
              </w:rPr>
              <w:t xml:space="preserve"> with participants in the network?</w:t>
            </w:r>
          </w:p>
        </w:tc>
        <w:tc>
          <w:tcPr>
            <w:tcW w:w="3661" w:type="dxa"/>
          </w:tcPr>
          <w:p w14:paraId="2A7081FB" w14:textId="57FFAA30" w:rsidR="007D2910" w:rsidRPr="00035060" w:rsidRDefault="007D2910" w:rsidP="00903CA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General lack of agreements </w:t>
            </w:r>
            <w:r w:rsidR="00903CAF">
              <w:rPr>
                <w:rFonts w:asciiTheme="majorHAnsi" w:hAnsiTheme="majorHAnsi"/>
              </w:rPr>
              <w:t>addressing</w:t>
            </w:r>
            <w:r>
              <w:rPr>
                <w:rFonts w:asciiTheme="majorHAnsi" w:hAnsiTheme="majorHAnsi"/>
              </w:rPr>
              <w:t xml:space="preserve"> data reuse</w:t>
            </w:r>
          </w:p>
        </w:tc>
        <w:tc>
          <w:tcPr>
            <w:tcW w:w="2291" w:type="dxa"/>
          </w:tcPr>
          <w:p w14:paraId="7AE33164" w14:textId="77777777" w:rsidR="007D2910" w:rsidRDefault="007D291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Generally in LMIC</w:t>
            </w:r>
          </w:p>
          <w:p w14:paraId="39375466" w14:textId="3AD0B130" w:rsidR="007D2910" w:rsidRPr="00035060" w:rsidRDefault="007D291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91" w:type="dxa"/>
            <w:vMerge w:val="restart"/>
          </w:tcPr>
          <w:p w14:paraId="1AAD9B35" w14:textId="3E11BFE2" w:rsidR="007D2910" w:rsidRPr="00035060" w:rsidRDefault="007D291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D1722C">
              <w:rPr>
                <w:rFonts w:asciiTheme="majorHAnsi" w:hAnsiTheme="majorHAnsi"/>
              </w:rPr>
              <w:t>Be data driven; Reuse and improve</w:t>
            </w:r>
          </w:p>
        </w:tc>
      </w:tr>
      <w:tr w:rsidR="007D2910" w:rsidRPr="00035060" w14:paraId="7287B200" w14:textId="77777777" w:rsidTr="00E9366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540" w:type="dxa"/>
            <w:vMerge/>
          </w:tcPr>
          <w:p w14:paraId="48226315" w14:textId="77777777" w:rsidR="007D2910" w:rsidRDefault="007D2910" w:rsidP="00035060"/>
        </w:tc>
        <w:tc>
          <w:tcPr>
            <w:tcW w:w="2693" w:type="dxa"/>
            <w:vMerge/>
          </w:tcPr>
          <w:p w14:paraId="6A3FF245" w14:textId="77777777" w:rsidR="007D2910" w:rsidRDefault="007D2910"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323E3282" w14:textId="1F509708" w:rsidR="007D2910" w:rsidRDefault="008B15EF" w:rsidP="00FC15A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Yes, an agreement exists for research purposes related to reducing poverty through a conditional cash transfer program. (social &amp; behavioral services data)</w:t>
            </w:r>
          </w:p>
        </w:tc>
        <w:tc>
          <w:tcPr>
            <w:tcW w:w="2291" w:type="dxa"/>
          </w:tcPr>
          <w:p w14:paraId="17247F38" w14:textId="71BEE160" w:rsidR="007D2910" w:rsidRDefault="00862195"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tc>
        <w:tc>
          <w:tcPr>
            <w:tcW w:w="1991" w:type="dxa"/>
            <w:vMerge/>
          </w:tcPr>
          <w:p w14:paraId="6E314096" w14:textId="77777777" w:rsidR="007D2910" w:rsidRPr="00D1722C" w:rsidRDefault="007D2910"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22C20" w:rsidRPr="00035060" w14:paraId="634D34C4" w14:textId="77777777" w:rsidTr="00E9366F">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40" w:type="dxa"/>
            <w:vMerge/>
          </w:tcPr>
          <w:p w14:paraId="18E80F53" w14:textId="77777777" w:rsidR="00022C20" w:rsidRDefault="00022C20" w:rsidP="00035060"/>
        </w:tc>
        <w:tc>
          <w:tcPr>
            <w:tcW w:w="2693" w:type="dxa"/>
            <w:vMerge/>
          </w:tcPr>
          <w:p w14:paraId="19A0AADD" w14:textId="77777777" w:rsidR="00022C20" w:rsidRDefault="00022C2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43C78D3E" w14:textId="1D61054C" w:rsidR="00022C20" w:rsidRDefault="00022C20" w:rsidP="0069643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Individually-identifiable data are not permitted to leave the facilities where collected</w:t>
            </w:r>
          </w:p>
        </w:tc>
        <w:tc>
          <w:tcPr>
            <w:tcW w:w="2291" w:type="dxa"/>
          </w:tcPr>
          <w:p w14:paraId="6F7B8580" w14:textId="42D9070D" w:rsidR="00022C20" w:rsidRDefault="00862195"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p w14:paraId="70BD8133" w14:textId="77777777" w:rsidR="00022C20" w:rsidRDefault="00022C2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9825CC3" w14:textId="77777777" w:rsidR="00022C20" w:rsidRDefault="00022C2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91" w:type="dxa"/>
            <w:vMerge/>
          </w:tcPr>
          <w:p w14:paraId="792D8B7D" w14:textId="77777777" w:rsidR="00022C20" w:rsidRPr="00D1722C" w:rsidRDefault="00022C2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7D2910" w:rsidRPr="00035060" w14:paraId="6307FD1F" w14:textId="77777777" w:rsidTr="00E9366F">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2540" w:type="dxa"/>
            <w:vMerge/>
          </w:tcPr>
          <w:p w14:paraId="53D4A4B4" w14:textId="77777777" w:rsidR="007D2910" w:rsidRDefault="007D2910" w:rsidP="00035060"/>
        </w:tc>
        <w:tc>
          <w:tcPr>
            <w:tcW w:w="2693" w:type="dxa"/>
            <w:vMerge/>
          </w:tcPr>
          <w:p w14:paraId="1FBF5F5D" w14:textId="77777777" w:rsidR="007D2910" w:rsidRDefault="007D2910"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0BBA41B0" w14:textId="20187890" w:rsidR="007D2910" w:rsidRDefault="007D2910" w:rsidP="0069643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Yes, for the permitted purposes outlined in the data use agreement</w:t>
            </w:r>
          </w:p>
        </w:tc>
        <w:tc>
          <w:tcPr>
            <w:tcW w:w="2291" w:type="dxa"/>
          </w:tcPr>
          <w:p w14:paraId="0376BAAF" w14:textId="4078AD87" w:rsidR="007D2910" w:rsidRDefault="00485323" w:rsidP="00B70C3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7CE47275" w14:textId="77777777" w:rsidR="007D2910" w:rsidRPr="00D1722C" w:rsidRDefault="007D2910"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50403" w:rsidRPr="00035060" w14:paraId="02A22931" w14:textId="77777777" w:rsidTr="00E9366F">
        <w:trPr>
          <w:cnfStyle w:val="000000010000" w:firstRow="0" w:lastRow="0" w:firstColumn="0" w:lastColumn="0" w:oddVBand="0" w:evenVBand="0" w:oddHBand="0" w:evenHBand="1"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475620BB" w14:textId="492D4AB7" w:rsidR="00450403" w:rsidRDefault="00450403" w:rsidP="00035060">
            <w:r>
              <w:t>Participant Obligations</w:t>
            </w:r>
          </w:p>
        </w:tc>
        <w:tc>
          <w:tcPr>
            <w:tcW w:w="2693" w:type="dxa"/>
            <w:vMerge w:val="restart"/>
          </w:tcPr>
          <w:p w14:paraId="32DD2B39" w14:textId="2AA8E552" w:rsidR="00450403" w:rsidRDefault="00450403"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Are all participants required to be in production?</w:t>
            </w:r>
          </w:p>
          <w:p w14:paraId="4E328671" w14:textId="3457E580" w:rsidR="00450403" w:rsidRDefault="00450403"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035C7518" w14:textId="6D12DEAC" w:rsidR="00450403" w:rsidRPr="00035060" w:rsidRDefault="00450403"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Agreement specifies that authorities must share data and certain minimum Ebola-related data must be exchanged</w:t>
            </w:r>
            <w:r w:rsidR="009D1381">
              <w:rPr>
                <w:rFonts w:asciiTheme="majorHAnsi" w:hAnsiTheme="majorHAnsi"/>
              </w:rPr>
              <w:t xml:space="preserve"> weekly</w:t>
            </w:r>
          </w:p>
        </w:tc>
        <w:tc>
          <w:tcPr>
            <w:tcW w:w="2291" w:type="dxa"/>
          </w:tcPr>
          <w:p w14:paraId="0D04DD9B" w14:textId="70A5DD52" w:rsidR="00450403" w:rsidRPr="00035060" w:rsidRDefault="0015246A"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Africa</w:t>
            </w:r>
          </w:p>
        </w:tc>
        <w:tc>
          <w:tcPr>
            <w:tcW w:w="1991" w:type="dxa"/>
            <w:vMerge w:val="restart"/>
          </w:tcPr>
          <w:p w14:paraId="0EB64C84" w14:textId="569DC55C" w:rsidR="00450403" w:rsidRPr="00035060" w:rsidRDefault="00450403"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A4C1B">
              <w:rPr>
                <w:rFonts w:asciiTheme="majorHAnsi" w:hAnsiTheme="majorHAnsi"/>
              </w:rPr>
              <w:t>Be data driven</w:t>
            </w:r>
            <w:r>
              <w:rPr>
                <w:rFonts w:asciiTheme="majorHAnsi" w:hAnsiTheme="majorHAnsi"/>
              </w:rPr>
              <w:t>; Be collaborative</w:t>
            </w:r>
          </w:p>
        </w:tc>
      </w:tr>
      <w:tr w:rsidR="00450403" w:rsidRPr="00035060" w14:paraId="0877919C" w14:textId="77777777" w:rsidTr="00E9366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540" w:type="dxa"/>
            <w:vMerge/>
          </w:tcPr>
          <w:p w14:paraId="2FCF16CC" w14:textId="77777777" w:rsidR="00450403" w:rsidRDefault="00450403" w:rsidP="00035060"/>
        </w:tc>
        <w:tc>
          <w:tcPr>
            <w:tcW w:w="2693" w:type="dxa"/>
            <w:vMerge/>
          </w:tcPr>
          <w:p w14:paraId="36AA4DA0" w14:textId="77777777" w:rsidR="00450403" w:rsidRDefault="00450403"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3E70D1D6" w14:textId="6D770C56" w:rsidR="00450403" w:rsidRDefault="00450403"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Agreement does not explicitly require provid</w:t>
            </w:r>
            <w:r w:rsidR="009D1381">
              <w:rPr>
                <w:rFonts w:asciiTheme="majorHAnsi" w:hAnsiTheme="majorHAnsi"/>
              </w:rPr>
              <w:t>ers in the HIE be in production</w:t>
            </w:r>
          </w:p>
        </w:tc>
        <w:tc>
          <w:tcPr>
            <w:tcW w:w="2291" w:type="dxa"/>
          </w:tcPr>
          <w:p w14:paraId="5DFE02E0" w14:textId="2628855B" w:rsidR="00450403" w:rsidRDefault="0015246A"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p w14:paraId="74C12656" w14:textId="77777777" w:rsidR="00450403" w:rsidRDefault="00450403"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92EC900" w14:textId="564C473A" w:rsidR="00450403" w:rsidRDefault="00450403"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tcPr>
          <w:p w14:paraId="62E1B8B3" w14:textId="77777777" w:rsidR="00450403" w:rsidRPr="00EA4C1B" w:rsidRDefault="00450403"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50403" w:rsidRPr="00035060" w14:paraId="06AB988E" w14:textId="77777777" w:rsidTr="00472E56">
        <w:trPr>
          <w:cnfStyle w:val="000000010000" w:firstRow="0" w:lastRow="0" w:firstColumn="0" w:lastColumn="0" w:oddVBand="0" w:evenVBand="0" w:oddHBand="0" w:evenHBand="1"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2540" w:type="dxa"/>
            <w:vMerge/>
          </w:tcPr>
          <w:p w14:paraId="6756E084" w14:textId="77777777" w:rsidR="00450403" w:rsidRDefault="00450403" w:rsidP="00035060"/>
        </w:tc>
        <w:tc>
          <w:tcPr>
            <w:tcW w:w="2693" w:type="dxa"/>
            <w:vMerge/>
          </w:tcPr>
          <w:p w14:paraId="0AF01F78" w14:textId="77777777" w:rsidR="00450403" w:rsidRDefault="00450403"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38F3E735" w14:textId="33EB651A" w:rsidR="00450403" w:rsidRDefault="00450403" w:rsidP="00ED16C2">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Agreement explicitly requires participants in the network to be in production </w:t>
            </w:r>
          </w:p>
        </w:tc>
        <w:tc>
          <w:tcPr>
            <w:tcW w:w="2291" w:type="dxa"/>
          </w:tcPr>
          <w:p w14:paraId="7FF9A0F6" w14:textId="08D4FB76" w:rsidR="00450403" w:rsidRDefault="0015246A" w:rsidP="00B70C34">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26A0ECDD" w14:textId="77777777" w:rsidR="00450403" w:rsidRPr="00EA4C1B" w:rsidRDefault="00450403"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ED16C2" w:rsidRPr="00035060" w14:paraId="2DDD1665" w14:textId="77777777" w:rsidTr="00E9366F">
        <w:trPr>
          <w:cnfStyle w:val="000000100000" w:firstRow="0" w:lastRow="0" w:firstColumn="0" w:lastColumn="0" w:oddVBand="0" w:evenVBand="0" w:oddHBand="1" w:evenHBand="0" w:firstRowFirstColumn="0" w:firstRowLastColumn="0" w:lastRowFirstColumn="0" w:lastRowLastColumn="0"/>
          <w:trHeight w:val="1664"/>
        </w:trPr>
        <w:tc>
          <w:tcPr>
            <w:cnfStyle w:val="001000000000" w:firstRow="0" w:lastRow="0" w:firstColumn="1" w:lastColumn="0" w:oddVBand="0" w:evenVBand="0" w:oddHBand="0" w:evenHBand="0" w:firstRowFirstColumn="0" w:firstRowLastColumn="0" w:lastRowFirstColumn="0" w:lastRowLastColumn="0"/>
            <w:tcW w:w="2540" w:type="dxa"/>
          </w:tcPr>
          <w:p w14:paraId="4C4F5EFE" w14:textId="47ED053A" w:rsidR="00ED16C2" w:rsidRDefault="00ED16C2" w:rsidP="00035060">
            <w:r>
              <w:t>Participant Obligations</w:t>
            </w:r>
          </w:p>
        </w:tc>
        <w:tc>
          <w:tcPr>
            <w:tcW w:w="2693" w:type="dxa"/>
          </w:tcPr>
          <w:p w14:paraId="1BFC2745" w14:textId="4D188546" w:rsidR="00ED16C2" w:rsidRDefault="00ED16C2"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Are all participants required to respond to queries/data requests?</w:t>
            </w:r>
          </w:p>
        </w:tc>
        <w:tc>
          <w:tcPr>
            <w:tcW w:w="3661" w:type="dxa"/>
          </w:tcPr>
          <w:p w14:paraId="337B323F" w14:textId="3DADF130" w:rsidR="00ED16C2" w:rsidRDefault="00ED16C2" w:rsidP="00B70C3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Agreement explicitly requires participants in the network to respond to queries/data requests with either data or a message that the requested data</w:t>
            </w:r>
            <w:r w:rsidR="00B70C34">
              <w:rPr>
                <w:rFonts w:asciiTheme="majorHAnsi" w:hAnsiTheme="majorHAnsi"/>
              </w:rPr>
              <w:t xml:space="preserve"> are not available</w:t>
            </w:r>
          </w:p>
        </w:tc>
        <w:tc>
          <w:tcPr>
            <w:tcW w:w="2291" w:type="dxa"/>
          </w:tcPr>
          <w:p w14:paraId="18436CDC" w14:textId="7AD4AF55" w:rsidR="00ED16C2" w:rsidRDefault="00C44914" w:rsidP="00B70C3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tcPr>
          <w:p w14:paraId="6DB402D2" w14:textId="488DD1A1" w:rsidR="00ED16C2" w:rsidRPr="00EA4C1B" w:rsidRDefault="00AF3B70"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A4C1B">
              <w:rPr>
                <w:rFonts w:asciiTheme="majorHAnsi" w:hAnsiTheme="majorHAnsi"/>
              </w:rPr>
              <w:t>Be data driven</w:t>
            </w:r>
            <w:r>
              <w:rPr>
                <w:rFonts w:asciiTheme="majorHAnsi" w:hAnsiTheme="majorHAnsi"/>
              </w:rPr>
              <w:t>; Be collaborative</w:t>
            </w:r>
          </w:p>
        </w:tc>
      </w:tr>
      <w:tr w:rsidR="00F50D89" w:rsidRPr="00035060" w14:paraId="1CD273C0" w14:textId="77777777" w:rsidTr="00E9366F">
        <w:trPr>
          <w:cnfStyle w:val="000000010000" w:firstRow="0" w:lastRow="0" w:firstColumn="0" w:lastColumn="0" w:oddVBand="0" w:evenVBand="0" w:oddHBand="0" w:evenHBand="1"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5B90C4D8" w14:textId="730C3184" w:rsidR="00F50D89" w:rsidRDefault="00F50D89" w:rsidP="00035060">
            <w:r>
              <w:t>Participant Obligations</w:t>
            </w:r>
          </w:p>
        </w:tc>
        <w:tc>
          <w:tcPr>
            <w:tcW w:w="2693" w:type="dxa"/>
            <w:vMerge w:val="restart"/>
          </w:tcPr>
          <w:p w14:paraId="5BDC688F" w14:textId="24DCCDB6" w:rsidR="00F50D89"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What is the process for reporting breaches or addressing issue resolution?</w:t>
            </w:r>
          </w:p>
        </w:tc>
        <w:tc>
          <w:tcPr>
            <w:tcW w:w="3661" w:type="dxa"/>
          </w:tcPr>
          <w:p w14:paraId="31A42AD7" w14:textId="4D126284" w:rsidR="00F50D89" w:rsidRPr="00035060" w:rsidRDefault="00F50D89" w:rsidP="007C5929">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In accordance with the </w:t>
            </w:r>
            <w:r w:rsidR="00C44914">
              <w:rPr>
                <w:rFonts w:asciiTheme="majorHAnsi" w:hAnsiTheme="majorHAnsi"/>
              </w:rPr>
              <w:t xml:space="preserve">country’s </w:t>
            </w:r>
            <w:r>
              <w:rPr>
                <w:rFonts w:asciiTheme="majorHAnsi" w:hAnsiTheme="majorHAnsi"/>
              </w:rPr>
              <w:t>HIE  Manual of Operation which details Incident Response and Mitigation Guidelines</w:t>
            </w:r>
          </w:p>
        </w:tc>
        <w:tc>
          <w:tcPr>
            <w:tcW w:w="2291" w:type="dxa"/>
          </w:tcPr>
          <w:p w14:paraId="5E179EAD" w14:textId="555A3C51" w:rsidR="00F50D89" w:rsidRDefault="00C44914"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p w14:paraId="4B2F2B43" w14:textId="77777777" w:rsidR="00F50D89"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020C3B5F" w14:textId="62297AB7" w:rsidR="00F50D89" w:rsidRPr="00035060"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91" w:type="dxa"/>
            <w:vMerge w:val="restart"/>
          </w:tcPr>
          <w:p w14:paraId="2A4E6702" w14:textId="7AB80481" w:rsidR="00F50D89" w:rsidRPr="00035060"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F57DC3">
              <w:rPr>
                <w:rFonts w:asciiTheme="majorHAnsi" w:hAnsiTheme="majorHAnsi"/>
              </w:rPr>
              <w:t>Address privacy and security; Understand the ecosystem</w:t>
            </w:r>
          </w:p>
        </w:tc>
      </w:tr>
      <w:tr w:rsidR="00F50D89" w:rsidRPr="00035060" w14:paraId="706CBF57" w14:textId="77777777" w:rsidTr="00E9366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40" w:type="dxa"/>
            <w:vMerge/>
          </w:tcPr>
          <w:p w14:paraId="05687874" w14:textId="77777777" w:rsidR="00F50D89" w:rsidRDefault="00F50D89" w:rsidP="00035060"/>
        </w:tc>
        <w:tc>
          <w:tcPr>
            <w:tcW w:w="2693" w:type="dxa"/>
            <w:vMerge/>
          </w:tcPr>
          <w:p w14:paraId="13E1B064" w14:textId="77777777" w:rsidR="00F50D89" w:rsidRDefault="00F50D8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5438B349" w14:textId="60E26565" w:rsidR="00F50D89" w:rsidRDefault="00F50D8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Prompt notification of the </w:t>
            </w:r>
            <w:r w:rsidR="00B70C34">
              <w:rPr>
                <w:rFonts w:asciiTheme="majorHAnsi" w:hAnsiTheme="majorHAnsi"/>
              </w:rPr>
              <w:t xml:space="preserve">governing body, </w:t>
            </w:r>
            <w:r>
              <w:rPr>
                <w:rFonts w:asciiTheme="majorHAnsi" w:hAnsiTheme="majorHAnsi"/>
              </w:rPr>
              <w:t>Coordinating Committee</w:t>
            </w:r>
            <w:r w:rsidR="00B70C34">
              <w:rPr>
                <w:rFonts w:asciiTheme="majorHAnsi" w:hAnsiTheme="majorHAnsi"/>
              </w:rPr>
              <w:t>,</w:t>
            </w:r>
            <w:r>
              <w:rPr>
                <w:rFonts w:asciiTheme="majorHAnsi" w:hAnsiTheme="majorHAnsi"/>
              </w:rPr>
              <w:t xml:space="preserve"> and other impacted participants</w:t>
            </w:r>
          </w:p>
        </w:tc>
        <w:tc>
          <w:tcPr>
            <w:tcW w:w="2291" w:type="dxa"/>
          </w:tcPr>
          <w:p w14:paraId="1E42D1E3" w14:textId="630E2FFC" w:rsidR="00F50D89" w:rsidRDefault="00376F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047AA731" w14:textId="77777777" w:rsidR="00F50D89" w:rsidRPr="00F57DC3" w:rsidRDefault="00F50D8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50D89" w:rsidRPr="00035060" w14:paraId="26005ED5" w14:textId="77777777" w:rsidTr="00E9366F">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540" w:type="dxa"/>
            <w:vMerge/>
          </w:tcPr>
          <w:p w14:paraId="10EF75D5" w14:textId="77777777" w:rsidR="00F50D89" w:rsidRDefault="00F50D89" w:rsidP="00035060"/>
        </w:tc>
        <w:tc>
          <w:tcPr>
            <w:tcW w:w="2693" w:type="dxa"/>
            <w:vMerge/>
          </w:tcPr>
          <w:p w14:paraId="4D882FD0" w14:textId="77777777" w:rsidR="00F50D89"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7C9F2AAE" w14:textId="71C4B121" w:rsidR="00F50D89"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Provide reasonable information to resolve issues or disputes</w:t>
            </w:r>
          </w:p>
        </w:tc>
        <w:tc>
          <w:tcPr>
            <w:tcW w:w="2291" w:type="dxa"/>
          </w:tcPr>
          <w:p w14:paraId="0135598A" w14:textId="3A3D35F6" w:rsidR="00F50D89" w:rsidRDefault="00376F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76B8AE37" w14:textId="77777777" w:rsidR="00F50D89" w:rsidRPr="00F57DC3" w:rsidRDefault="00F50D8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9F41FE" w:rsidRPr="00035060" w14:paraId="7F902389" w14:textId="77777777" w:rsidTr="00E93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A27A85D" w14:textId="55929AA0" w:rsidR="009F41FE" w:rsidRDefault="00FE64BF" w:rsidP="006D120E">
            <w:r>
              <w:t xml:space="preserve">Local </w:t>
            </w:r>
            <w:r w:rsidR="006D120E">
              <w:t>Rules</w:t>
            </w:r>
          </w:p>
        </w:tc>
        <w:tc>
          <w:tcPr>
            <w:tcW w:w="2693" w:type="dxa"/>
          </w:tcPr>
          <w:p w14:paraId="6E72CC01" w14:textId="73A22731" w:rsidR="009F41FE" w:rsidRDefault="00FE64BF"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Can participants establish their own policies around which users can access and exchange data using the participants’ system?</w:t>
            </w:r>
          </w:p>
        </w:tc>
        <w:tc>
          <w:tcPr>
            <w:tcW w:w="3661" w:type="dxa"/>
          </w:tcPr>
          <w:p w14:paraId="4509227F" w14:textId="1662C9E1" w:rsidR="009F41FE" w:rsidRPr="00035060" w:rsidRDefault="006F1FB2"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Yes</w:t>
            </w:r>
            <w:r w:rsidR="001F3979">
              <w:rPr>
                <w:rFonts w:asciiTheme="majorHAnsi" w:hAnsiTheme="majorHAnsi"/>
              </w:rPr>
              <w:t>, within the broader bounds of the overall agreement.</w:t>
            </w:r>
          </w:p>
        </w:tc>
        <w:tc>
          <w:tcPr>
            <w:tcW w:w="2291" w:type="dxa"/>
          </w:tcPr>
          <w:p w14:paraId="0A7D3DC7" w14:textId="34125E97" w:rsidR="009F41FE" w:rsidRPr="00035060" w:rsidRDefault="00F56778" w:rsidP="0098714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tcPr>
          <w:p w14:paraId="01B7B464" w14:textId="4598A0F7" w:rsidR="009F41FE" w:rsidRPr="00035060" w:rsidRDefault="00F57DC3"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57DC3">
              <w:rPr>
                <w:rFonts w:asciiTheme="majorHAnsi" w:hAnsiTheme="majorHAnsi"/>
              </w:rPr>
              <w:t>Understand the ecosystem; Be collaborative</w:t>
            </w:r>
          </w:p>
        </w:tc>
      </w:tr>
      <w:tr w:rsidR="003E1BBE" w:rsidRPr="00035060" w14:paraId="138B1574" w14:textId="77777777" w:rsidTr="00E9366F">
        <w:trPr>
          <w:cnfStyle w:val="000000010000" w:firstRow="0" w:lastRow="0" w:firstColumn="0" w:lastColumn="0" w:oddVBand="0" w:evenVBand="0" w:oddHBand="0" w:evenHBand="1"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57B03C5A" w14:textId="2EC6778A" w:rsidR="003E1BBE" w:rsidRDefault="003E1BBE" w:rsidP="00035060">
            <w:r>
              <w:t>Data Integrity/Quality</w:t>
            </w:r>
          </w:p>
        </w:tc>
        <w:tc>
          <w:tcPr>
            <w:tcW w:w="2693" w:type="dxa"/>
            <w:vMerge w:val="restart"/>
          </w:tcPr>
          <w:p w14:paraId="1F0823BC" w14:textId="7442CDD4" w:rsidR="003E1BBE"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Is there a need to guarantee clinical accuracy, content, or completeness of data exchanged?</w:t>
            </w:r>
          </w:p>
        </w:tc>
        <w:tc>
          <w:tcPr>
            <w:tcW w:w="3661" w:type="dxa"/>
          </w:tcPr>
          <w:p w14:paraId="164FB160" w14:textId="3FC39036" w:rsidR="003E1BBE" w:rsidRPr="00035060"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Participating providers are responsible for editing or correcting information in the </w:t>
            </w:r>
            <w:r w:rsidR="00ED5C7A">
              <w:rPr>
                <w:rFonts w:asciiTheme="majorHAnsi" w:hAnsiTheme="majorHAnsi"/>
              </w:rPr>
              <w:t xml:space="preserve">country’s </w:t>
            </w:r>
            <w:r>
              <w:rPr>
                <w:rFonts w:asciiTheme="majorHAnsi" w:hAnsiTheme="majorHAnsi"/>
              </w:rPr>
              <w:t>HIE as requested by amendment by the patient or other participating providers</w:t>
            </w:r>
          </w:p>
        </w:tc>
        <w:tc>
          <w:tcPr>
            <w:tcW w:w="2291" w:type="dxa"/>
          </w:tcPr>
          <w:p w14:paraId="33D8AC86" w14:textId="4C803ACA" w:rsidR="003E1BBE" w:rsidRDefault="007C5929"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Asia</w:t>
            </w:r>
          </w:p>
          <w:p w14:paraId="1A5F6FB1" w14:textId="77777777" w:rsidR="003E1BBE"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A4C9910" w14:textId="77777777" w:rsidR="003E1BBE"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4798EAC1" w14:textId="77777777" w:rsidR="003E1BBE"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5072D630" w14:textId="77777777" w:rsidR="003E1BBE"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p w14:paraId="0A546DB2" w14:textId="1131D58F" w:rsidR="003E1BBE" w:rsidRPr="00035060"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91" w:type="dxa"/>
            <w:vMerge w:val="restart"/>
          </w:tcPr>
          <w:p w14:paraId="6400F385" w14:textId="44886FB4" w:rsidR="003E1BBE" w:rsidRPr="00035060"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02893">
              <w:rPr>
                <w:rFonts w:asciiTheme="majorHAnsi" w:hAnsiTheme="majorHAnsi"/>
              </w:rPr>
              <w:t>Be data driven; Address privacy and security</w:t>
            </w:r>
          </w:p>
        </w:tc>
      </w:tr>
      <w:tr w:rsidR="003E1BBE" w:rsidRPr="00035060" w14:paraId="715977F9" w14:textId="77777777" w:rsidTr="006A3840">
        <w:trPr>
          <w:cnfStyle w:val="000000100000" w:firstRow="0" w:lastRow="0" w:firstColumn="0" w:lastColumn="0" w:oddVBand="0" w:evenVBand="0" w:oddHBand="1" w:evenHBand="0" w:firstRowFirstColumn="0" w:firstRowLastColumn="0" w:lastRowFirstColumn="0" w:lastRowLastColumn="0"/>
          <w:trHeight w:val="2195"/>
        </w:trPr>
        <w:tc>
          <w:tcPr>
            <w:cnfStyle w:val="001000000000" w:firstRow="0" w:lastRow="0" w:firstColumn="1" w:lastColumn="0" w:oddVBand="0" w:evenVBand="0" w:oddHBand="0" w:evenHBand="0" w:firstRowFirstColumn="0" w:firstRowLastColumn="0" w:lastRowFirstColumn="0" w:lastRowLastColumn="0"/>
            <w:tcW w:w="2540" w:type="dxa"/>
            <w:vMerge/>
          </w:tcPr>
          <w:p w14:paraId="1FACF07B" w14:textId="77777777" w:rsidR="003E1BBE" w:rsidRDefault="003E1BBE" w:rsidP="00035060"/>
        </w:tc>
        <w:tc>
          <w:tcPr>
            <w:tcW w:w="2693" w:type="dxa"/>
            <w:vMerge/>
          </w:tcPr>
          <w:p w14:paraId="48925ADA" w14:textId="77777777"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31B43191" w14:textId="307EA320"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Participants must ensure accuracy of data during transmission reflects what is in their system at the time, but the agreement does not impose any responsibility or liability on a participant for the clinical accuracy, content, or completeness of message content</w:t>
            </w:r>
          </w:p>
        </w:tc>
        <w:tc>
          <w:tcPr>
            <w:tcW w:w="2291" w:type="dxa"/>
          </w:tcPr>
          <w:p w14:paraId="6054241B" w14:textId="4294F260" w:rsidR="003E1BBE" w:rsidRDefault="00171FCA"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p w14:paraId="16FA0C75" w14:textId="77777777"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1BCA685" w14:textId="77777777"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D4CF0C5" w14:textId="77777777"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BBD6EBC" w14:textId="77777777"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8DE4F61" w14:textId="02686CED" w:rsidR="003E1BBE"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tcPr>
          <w:p w14:paraId="339835EC" w14:textId="77777777" w:rsidR="003E1BBE" w:rsidRPr="00702893" w:rsidRDefault="003E1BBE"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3E1BBE" w:rsidRPr="00035060" w14:paraId="00557FB7" w14:textId="77777777" w:rsidTr="00E9366F">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540" w:type="dxa"/>
            <w:vMerge/>
          </w:tcPr>
          <w:p w14:paraId="7162F136" w14:textId="77777777" w:rsidR="003E1BBE" w:rsidRDefault="003E1BBE" w:rsidP="00035060"/>
        </w:tc>
        <w:tc>
          <w:tcPr>
            <w:tcW w:w="2693" w:type="dxa"/>
            <w:vMerge/>
          </w:tcPr>
          <w:p w14:paraId="7BCC9A2D" w14:textId="77777777" w:rsidR="003E1BBE"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7343B066" w14:textId="672337A5" w:rsidR="003E1BBE" w:rsidRDefault="003E1BBE" w:rsidP="006026F7">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Members must have processes in place to provide accurate and complete patient data that it provides to the HIE</w:t>
            </w:r>
          </w:p>
        </w:tc>
        <w:tc>
          <w:tcPr>
            <w:tcW w:w="2291" w:type="dxa"/>
          </w:tcPr>
          <w:p w14:paraId="06D3233B" w14:textId="4D1AAEED" w:rsidR="003E1BBE" w:rsidRDefault="006026F7"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6CFB50BE" w14:textId="77777777" w:rsidR="003E1BBE" w:rsidRPr="00702893" w:rsidRDefault="003E1BBE"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B40AF4" w:rsidRPr="00035060" w14:paraId="334F1047" w14:textId="77777777" w:rsidTr="00E9366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59C2B857" w14:textId="072C8ADC" w:rsidR="00B40AF4" w:rsidRDefault="00B40AF4" w:rsidP="00035060">
            <w:r>
              <w:t>Dispute Resolution</w:t>
            </w:r>
          </w:p>
        </w:tc>
        <w:tc>
          <w:tcPr>
            <w:tcW w:w="2693" w:type="dxa"/>
            <w:vMerge w:val="restart"/>
          </w:tcPr>
          <w:p w14:paraId="1E26BA19" w14:textId="12CC4A0E" w:rsidR="00B40AF4" w:rsidRDefault="00B40AF4"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 there a resolution process for disputes between participants?</w:t>
            </w:r>
            <w:r w:rsidR="000F7598">
              <w:rPr>
                <w:rStyle w:val="FootnoteReference"/>
                <w:rFonts w:asciiTheme="majorHAnsi" w:hAnsiTheme="majorHAnsi"/>
              </w:rPr>
              <w:footnoteReference w:id="13"/>
            </w:r>
          </w:p>
        </w:tc>
        <w:tc>
          <w:tcPr>
            <w:tcW w:w="3661" w:type="dxa"/>
          </w:tcPr>
          <w:p w14:paraId="4EBE186A" w14:textId="389D8D95" w:rsidR="00B40AF4" w:rsidRPr="00035060" w:rsidRDefault="00B40AF4"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Mandatory non-binding dispute resolution process outlined in the agreement</w:t>
            </w:r>
          </w:p>
        </w:tc>
        <w:tc>
          <w:tcPr>
            <w:tcW w:w="2291" w:type="dxa"/>
          </w:tcPr>
          <w:p w14:paraId="6DBB7159" w14:textId="2CF8AC7F" w:rsidR="00B40AF4" w:rsidRPr="00035060" w:rsidRDefault="00E038DA"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val="restart"/>
          </w:tcPr>
          <w:p w14:paraId="4AF8512D" w14:textId="0807BBBA" w:rsidR="00B40AF4" w:rsidRPr="00035060" w:rsidRDefault="00B40AF4"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61E61">
              <w:rPr>
                <w:rFonts w:asciiTheme="majorHAnsi" w:hAnsiTheme="majorHAnsi"/>
              </w:rPr>
              <w:t>Address privacy and security; Understand the ecosystem</w:t>
            </w:r>
          </w:p>
        </w:tc>
      </w:tr>
      <w:tr w:rsidR="00B40AF4" w:rsidRPr="00035060" w14:paraId="324E8BC3" w14:textId="77777777" w:rsidTr="00E9366F">
        <w:trPr>
          <w:cnfStyle w:val="000000010000" w:firstRow="0" w:lastRow="0" w:firstColumn="0" w:lastColumn="0" w:oddVBand="0" w:evenVBand="0" w:oddHBand="0" w:evenHBand="1" w:firstRowFirstColumn="0" w:firstRowLastColumn="0" w:lastRowFirstColumn="0" w:lastRowLastColumn="0"/>
          <w:trHeight w:val="1940"/>
        </w:trPr>
        <w:tc>
          <w:tcPr>
            <w:cnfStyle w:val="001000000000" w:firstRow="0" w:lastRow="0" w:firstColumn="1" w:lastColumn="0" w:oddVBand="0" w:evenVBand="0" w:oddHBand="0" w:evenHBand="0" w:firstRowFirstColumn="0" w:firstRowLastColumn="0" w:lastRowFirstColumn="0" w:lastRowLastColumn="0"/>
            <w:tcW w:w="2540" w:type="dxa"/>
            <w:vMerge/>
          </w:tcPr>
          <w:p w14:paraId="3BE378BB" w14:textId="77777777" w:rsidR="00B40AF4" w:rsidRDefault="00B40AF4" w:rsidP="00035060"/>
        </w:tc>
        <w:tc>
          <w:tcPr>
            <w:tcW w:w="2693" w:type="dxa"/>
            <w:vMerge/>
          </w:tcPr>
          <w:p w14:paraId="209B693D" w14:textId="77777777" w:rsidR="00B40AF4" w:rsidRDefault="00B40AF4"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052111B2" w14:textId="671B2306" w:rsidR="00B40AF4" w:rsidRDefault="00B40AF4" w:rsidP="00081104">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Mandatory non-binding dispute resolution process. However, this agreement requires participants to adhere by cooperation requirements prior to entering a dispute resolution process.</w:t>
            </w:r>
          </w:p>
        </w:tc>
        <w:tc>
          <w:tcPr>
            <w:tcW w:w="2291" w:type="dxa"/>
          </w:tcPr>
          <w:p w14:paraId="60B0868B" w14:textId="2D85BDAA" w:rsidR="00B40AF4" w:rsidRDefault="00E038DA"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6F267B21" w14:textId="77777777" w:rsidR="00B40AF4" w:rsidRPr="00761E61" w:rsidRDefault="00B40AF4"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34420A" w:rsidRPr="00035060" w14:paraId="7FFCFC75" w14:textId="77777777" w:rsidTr="006A3840">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7B3040F7" w14:textId="02693EBF" w:rsidR="0034420A" w:rsidRDefault="0034420A" w:rsidP="00035060">
            <w:r>
              <w:t>Liability</w:t>
            </w:r>
          </w:p>
        </w:tc>
        <w:tc>
          <w:tcPr>
            <w:tcW w:w="2693" w:type="dxa"/>
            <w:vMerge w:val="restart"/>
          </w:tcPr>
          <w:p w14:paraId="05394762" w14:textId="5A28A274" w:rsidR="0034420A" w:rsidRDefault="0034420A"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What party/ies bear the risk for harm caused by breaches of the data use agreement?</w:t>
            </w:r>
            <w:r w:rsidR="00EF37F4">
              <w:rPr>
                <w:rStyle w:val="FootnoteReference"/>
                <w:rFonts w:asciiTheme="majorHAnsi" w:hAnsiTheme="majorHAnsi"/>
              </w:rPr>
              <w:footnoteReference w:id="14"/>
            </w:r>
          </w:p>
        </w:tc>
        <w:tc>
          <w:tcPr>
            <w:tcW w:w="3661" w:type="dxa"/>
          </w:tcPr>
          <w:p w14:paraId="017433A0" w14:textId="31AAF429" w:rsidR="0034420A" w:rsidRPr="00035060" w:rsidRDefault="0034420A"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Each participant is responsible for their own acts and omissions, but not the acts and omissions of other participants. Participants are responsible for harm caused if they breach the agreement or if due to their negligence, there is a breach of data being transmitted.</w:t>
            </w:r>
          </w:p>
        </w:tc>
        <w:tc>
          <w:tcPr>
            <w:tcW w:w="2291" w:type="dxa"/>
          </w:tcPr>
          <w:p w14:paraId="635992E5" w14:textId="0291D5C1" w:rsidR="0034420A" w:rsidRDefault="00A3100C"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p w14:paraId="61ED3D5E" w14:textId="103AFCE8" w:rsidR="0034420A" w:rsidRPr="00035060" w:rsidRDefault="0034420A" w:rsidP="00B3763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val="restart"/>
          </w:tcPr>
          <w:p w14:paraId="65581A7C" w14:textId="57819B03" w:rsidR="0034420A" w:rsidRPr="00035060" w:rsidRDefault="0034420A"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50BFD">
              <w:rPr>
                <w:rFonts w:asciiTheme="majorHAnsi" w:hAnsiTheme="majorHAnsi"/>
              </w:rPr>
              <w:t>Understand the ecosystem; Address privacy and security</w:t>
            </w:r>
          </w:p>
        </w:tc>
      </w:tr>
      <w:tr w:rsidR="0034420A" w:rsidRPr="00035060" w14:paraId="48A651F8" w14:textId="77777777" w:rsidTr="00E9366F">
        <w:trPr>
          <w:cnfStyle w:val="000000010000" w:firstRow="0" w:lastRow="0" w:firstColumn="0" w:lastColumn="0" w:oddVBand="0" w:evenVBand="0" w:oddHBand="0" w:evenHBand="1"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40" w:type="dxa"/>
            <w:vMerge/>
          </w:tcPr>
          <w:p w14:paraId="2FF0240D" w14:textId="77777777" w:rsidR="0034420A" w:rsidRDefault="0034420A" w:rsidP="00035060"/>
        </w:tc>
        <w:tc>
          <w:tcPr>
            <w:tcW w:w="2693" w:type="dxa"/>
            <w:vMerge/>
          </w:tcPr>
          <w:p w14:paraId="2AA3C823" w14:textId="77777777" w:rsidR="0034420A" w:rsidRDefault="0034420A"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6841B024" w14:textId="52D6A80F" w:rsidR="0034420A" w:rsidRDefault="00A75D58"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Limits liability to circumstances where there is a breach of the agreement, with</w:t>
            </w:r>
            <w:r w:rsidR="0034420A">
              <w:rPr>
                <w:rFonts w:asciiTheme="majorHAnsi" w:hAnsiTheme="majorHAnsi"/>
              </w:rPr>
              <w:t xml:space="preserve"> an aggregate limit on liability of $3 million USD.</w:t>
            </w:r>
          </w:p>
        </w:tc>
        <w:tc>
          <w:tcPr>
            <w:tcW w:w="2291" w:type="dxa"/>
          </w:tcPr>
          <w:p w14:paraId="3B0F5595" w14:textId="7B8566C1" w:rsidR="0034420A" w:rsidRDefault="007819C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5652FC4F" w14:textId="77777777" w:rsidR="0034420A" w:rsidRPr="00C50BFD" w:rsidRDefault="0034420A"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922131" w:rsidRPr="00035060" w14:paraId="574255FE" w14:textId="77777777" w:rsidTr="001044F2">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276E068C" w14:textId="2B714AE4" w:rsidR="00922131" w:rsidRDefault="00922131" w:rsidP="00035060">
            <w:r>
              <w:t>Auditing</w:t>
            </w:r>
          </w:p>
        </w:tc>
        <w:tc>
          <w:tcPr>
            <w:tcW w:w="2693" w:type="dxa"/>
            <w:vMerge w:val="restart"/>
          </w:tcPr>
          <w:p w14:paraId="42FDEE05" w14:textId="3452D223" w:rsidR="00922131"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Who bears the responsibility for auditing access to and use of systems related to the data use agreement?</w:t>
            </w:r>
          </w:p>
        </w:tc>
        <w:tc>
          <w:tcPr>
            <w:tcW w:w="3661" w:type="dxa"/>
          </w:tcPr>
          <w:p w14:paraId="22A10265" w14:textId="555AED38" w:rsidR="00922131" w:rsidRPr="00035060" w:rsidRDefault="00922131" w:rsidP="00234A9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The provider participating in </w:t>
            </w:r>
            <w:r w:rsidR="00234A9F">
              <w:rPr>
                <w:rFonts w:asciiTheme="majorHAnsi" w:hAnsiTheme="majorHAnsi"/>
              </w:rPr>
              <w:t xml:space="preserve">the country’s </w:t>
            </w:r>
            <w:r>
              <w:rPr>
                <w:rFonts w:asciiTheme="majorHAnsi" w:hAnsiTheme="majorHAnsi"/>
              </w:rPr>
              <w:t xml:space="preserve">HIE must report to the HIE Management Group any problems related to access to </w:t>
            </w:r>
            <w:r w:rsidR="00234A9F">
              <w:rPr>
                <w:rFonts w:asciiTheme="majorHAnsi" w:hAnsiTheme="majorHAnsi"/>
              </w:rPr>
              <w:t xml:space="preserve">the </w:t>
            </w:r>
            <w:r>
              <w:rPr>
                <w:rFonts w:asciiTheme="majorHAnsi" w:hAnsiTheme="majorHAnsi"/>
              </w:rPr>
              <w:t>HIE</w:t>
            </w:r>
          </w:p>
        </w:tc>
        <w:tc>
          <w:tcPr>
            <w:tcW w:w="2291" w:type="dxa"/>
          </w:tcPr>
          <w:p w14:paraId="020EC01A" w14:textId="1C4B5C6E" w:rsidR="00922131" w:rsidRDefault="00234A9F"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Asia</w:t>
            </w:r>
          </w:p>
          <w:p w14:paraId="0AEC5C12" w14:textId="77777777" w:rsidR="00922131"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894E1FB" w14:textId="77777777" w:rsidR="00922131"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5E5A899" w14:textId="208F2C88" w:rsidR="00922131" w:rsidRPr="00035060"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91" w:type="dxa"/>
            <w:vMerge w:val="restart"/>
          </w:tcPr>
          <w:p w14:paraId="2681A922" w14:textId="25070810" w:rsidR="00922131" w:rsidRPr="00035060"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50BFD">
              <w:rPr>
                <w:rFonts w:asciiTheme="majorHAnsi" w:hAnsiTheme="majorHAnsi"/>
              </w:rPr>
              <w:t>Understand the ecosystem; Address privacy and security; Be collaborative</w:t>
            </w:r>
          </w:p>
        </w:tc>
      </w:tr>
      <w:tr w:rsidR="00922131" w:rsidRPr="00035060" w14:paraId="4F32FC0F" w14:textId="77777777" w:rsidTr="00E9366F">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540" w:type="dxa"/>
            <w:vMerge/>
          </w:tcPr>
          <w:p w14:paraId="11596A32" w14:textId="77777777" w:rsidR="00922131" w:rsidRDefault="00922131" w:rsidP="00035060"/>
        </w:tc>
        <w:tc>
          <w:tcPr>
            <w:tcW w:w="2693" w:type="dxa"/>
            <w:vMerge/>
          </w:tcPr>
          <w:p w14:paraId="2E4BBA3C" w14:textId="77777777" w:rsidR="00922131"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2A3460DF" w14:textId="6F6AF2BF" w:rsidR="00922131"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Each participant must possess the ability to monitor and audit all access to the use of its system related to the agreement</w:t>
            </w:r>
          </w:p>
        </w:tc>
        <w:tc>
          <w:tcPr>
            <w:tcW w:w="2291" w:type="dxa"/>
          </w:tcPr>
          <w:p w14:paraId="37F4E684" w14:textId="365D95B6" w:rsidR="00922131" w:rsidRDefault="004F61BB" w:rsidP="00B53938">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p w14:paraId="36751305" w14:textId="787C665D" w:rsidR="00922131"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91" w:type="dxa"/>
            <w:vMerge/>
          </w:tcPr>
          <w:p w14:paraId="44676FA6" w14:textId="77777777" w:rsidR="00922131" w:rsidRPr="00C50BFD"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922131" w:rsidRPr="00035060" w14:paraId="6D03CA09" w14:textId="77777777" w:rsidTr="00E9366F">
        <w:trPr>
          <w:cnfStyle w:val="000000100000" w:firstRow="0" w:lastRow="0" w:firstColumn="0" w:lastColumn="0" w:oddVBand="0" w:evenVBand="0" w:oddHBand="1" w:evenHBand="0" w:firstRowFirstColumn="0" w:firstRowLastColumn="0" w:lastRowFirstColumn="0" w:lastRowLastColumn="0"/>
          <w:trHeight w:val="1738"/>
        </w:trPr>
        <w:tc>
          <w:tcPr>
            <w:cnfStyle w:val="001000000000" w:firstRow="0" w:lastRow="0" w:firstColumn="1" w:lastColumn="0" w:oddVBand="0" w:evenVBand="0" w:oddHBand="0" w:evenHBand="0" w:firstRowFirstColumn="0" w:firstRowLastColumn="0" w:lastRowFirstColumn="0" w:lastRowLastColumn="0"/>
            <w:tcW w:w="2540" w:type="dxa"/>
            <w:vMerge/>
          </w:tcPr>
          <w:p w14:paraId="3F59A467" w14:textId="77777777" w:rsidR="00922131" w:rsidRDefault="00922131" w:rsidP="00035060"/>
        </w:tc>
        <w:tc>
          <w:tcPr>
            <w:tcW w:w="2693" w:type="dxa"/>
            <w:vMerge/>
          </w:tcPr>
          <w:p w14:paraId="6D04E5F2" w14:textId="77777777" w:rsidR="00922131"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61" w:type="dxa"/>
          </w:tcPr>
          <w:p w14:paraId="6FF66FA5" w14:textId="3F4548E6" w:rsidR="00922131" w:rsidRDefault="00922131" w:rsidP="009B45B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Each participant must possess, but is not required to use, the ability to monitor exchange activities and provide monitoring information per </w:t>
            </w:r>
            <w:r w:rsidR="009B45B9">
              <w:rPr>
                <w:rFonts w:asciiTheme="majorHAnsi" w:hAnsiTheme="majorHAnsi"/>
              </w:rPr>
              <w:t>the network’s</w:t>
            </w:r>
            <w:r>
              <w:rPr>
                <w:rFonts w:asciiTheme="majorHAnsi" w:hAnsiTheme="majorHAnsi"/>
              </w:rPr>
              <w:t xml:space="preserve"> reasonable request</w:t>
            </w:r>
          </w:p>
        </w:tc>
        <w:tc>
          <w:tcPr>
            <w:tcW w:w="2291" w:type="dxa"/>
          </w:tcPr>
          <w:p w14:paraId="5C25FB29" w14:textId="220AB7E8" w:rsidR="00922131" w:rsidRDefault="009B45B9"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3821353A" w14:textId="77777777" w:rsidR="00922131" w:rsidRPr="00C50BFD" w:rsidRDefault="00922131"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922131" w:rsidRPr="00035060" w14:paraId="2672FBFA" w14:textId="77777777" w:rsidTr="00E9366F">
        <w:trPr>
          <w:cnfStyle w:val="000000010000" w:firstRow="0" w:lastRow="0" w:firstColumn="0" w:lastColumn="0" w:oddVBand="0" w:evenVBand="0" w:oddHBand="0" w:evenHBand="1" w:firstRowFirstColumn="0" w:firstRowLastColumn="0" w:lastRowFirstColumn="0" w:lastRowLastColumn="0"/>
          <w:trHeight w:val="3030"/>
        </w:trPr>
        <w:tc>
          <w:tcPr>
            <w:cnfStyle w:val="001000000000" w:firstRow="0" w:lastRow="0" w:firstColumn="1" w:lastColumn="0" w:oddVBand="0" w:evenVBand="0" w:oddHBand="0" w:evenHBand="0" w:firstRowFirstColumn="0" w:firstRowLastColumn="0" w:lastRowFirstColumn="0" w:lastRowLastColumn="0"/>
            <w:tcW w:w="2540" w:type="dxa"/>
            <w:vMerge/>
          </w:tcPr>
          <w:p w14:paraId="07AAFA8A" w14:textId="77777777" w:rsidR="00922131" w:rsidRDefault="00922131" w:rsidP="00035060"/>
        </w:tc>
        <w:tc>
          <w:tcPr>
            <w:tcW w:w="2693" w:type="dxa"/>
            <w:vMerge/>
          </w:tcPr>
          <w:p w14:paraId="455A2FF0" w14:textId="77777777" w:rsidR="00922131"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2FEDDFAF" w14:textId="39980434" w:rsidR="00922131"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All parties are responsible for auditing application processes and user activities involving the interconnection and must record the event type, date and time of event, user identification, workstation identification, success or failure of access attempts, and security actions taken by system administrators or security officers</w:t>
            </w:r>
          </w:p>
        </w:tc>
        <w:tc>
          <w:tcPr>
            <w:tcW w:w="2291" w:type="dxa"/>
          </w:tcPr>
          <w:p w14:paraId="53AAF9B7" w14:textId="103E008C" w:rsidR="00922131" w:rsidRDefault="00C4392B"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613AC3B6" w14:textId="77777777" w:rsidR="00922131" w:rsidRPr="00C50BFD" w:rsidRDefault="00922131"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095E77" w:rsidRPr="00035060" w14:paraId="25A3F81A" w14:textId="77777777" w:rsidTr="001044F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40" w:type="dxa"/>
            <w:vMerge w:val="restart"/>
          </w:tcPr>
          <w:p w14:paraId="50AF43D2" w14:textId="77457B9F" w:rsidR="00095E77" w:rsidRDefault="00095E77" w:rsidP="00035060">
            <w:r>
              <w:t>Identity Proofing and Authentication</w:t>
            </w:r>
          </w:p>
        </w:tc>
        <w:tc>
          <w:tcPr>
            <w:tcW w:w="2693" w:type="dxa"/>
            <w:vMerge w:val="restart"/>
          </w:tcPr>
          <w:p w14:paraId="6EC9BC88" w14:textId="2B93C567" w:rsidR="00095E77" w:rsidRDefault="00095E77"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 there a need for identity proofing and authentication?</w:t>
            </w:r>
          </w:p>
        </w:tc>
        <w:tc>
          <w:tcPr>
            <w:tcW w:w="3661" w:type="dxa"/>
          </w:tcPr>
          <w:p w14:paraId="4C52A72A" w14:textId="6CC10393" w:rsidR="00095E77" w:rsidRPr="00035060" w:rsidRDefault="00095E77"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Each user who shares data in the network must be uniquely identified and verified prior to gaining access to a participant’s system per networks requirements</w:t>
            </w:r>
          </w:p>
        </w:tc>
        <w:tc>
          <w:tcPr>
            <w:tcW w:w="2291" w:type="dxa"/>
          </w:tcPr>
          <w:p w14:paraId="19E3D68B" w14:textId="5C5204E0" w:rsidR="00095E77" w:rsidRPr="00035060" w:rsidRDefault="00036506"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val="restart"/>
          </w:tcPr>
          <w:p w14:paraId="54AA55A2" w14:textId="5E70437C" w:rsidR="00095E77" w:rsidRPr="00035060" w:rsidRDefault="00095E77" w:rsidP="0003506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C5291">
              <w:rPr>
                <w:rFonts w:asciiTheme="majorHAnsi" w:hAnsiTheme="majorHAnsi"/>
              </w:rPr>
              <w:t>Understand the ecosystem; Address privacy and security</w:t>
            </w:r>
          </w:p>
        </w:tc>
      </w:tr>
      <w:tr w:rsidR="00095E77" w:rsidRPr="00035060" w14:paraId="3EBA8576" w14:textId="77777777" w:rsidTr="00E9366F">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40" w:type="dxa"/>
            <w:vMerge/>
          </w:tcPr>
          <w:p w14:paraId="033FE6B9" w14:textId="77777777" w:rsidR="00095E77" w:rsidRDefault="00095E77" w:rsidP="00035060"/>
        </w:tc>
        <w:tc>
          <w:tcPr>
            <w:tcW w:w="2693" w:type="dxa"/>
            <w:vMerge/>
          </w:tcPr>
          <w:p w14:paraId="4582F5E3" w14:textId="77777777" w:rsidR="00095E77" w:rsidDel="001615D9" w:rsidRDefault="00095E77"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61" w:type="dxa"/>
          </w:tcPr>
          <w:p w14:paraId="4C1FE586" w14:textId="790D9238" w:rsidR="00095E77" w:rsidRDefault="00095E77"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Members have the responsibility to determine the Authorized Users under its control</w:t>
            </w:r>
            <w:r w:rsidR="00F877D2">
              <w:rPr>
                <w:rFonts w:asciiTheme="majorHAnsi" w:hAnsiTheme="majorHAnsi"/>
              </w:rPr>
              <w:t xml:space="preserve"> and to implement security requirements</w:t>
            </w:r>
          </w:p>
        </w:tc>
        <w:tc>
          <w:tcPr>
            <w:tcW w:w="2291" w:type="dxa"/>
          </w:tcPr>
          <w:p w14:paraId="7EB53146" w14:textId="5191FB89" w:rsidR="00095E77" w:rsidRDefault="002C4510"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1991" w:type="dxa"/>
            <w:vMerge/>
          </w:tcPr>
          <w:p w14:paraId="08304457" w14:textId="77777777" w:rsidR="00095E77" w:rsidRPr="003C5291" w:rsidRDefault="00095E77" w:rsidP="00035060">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38B8B89B" w14:textId="77777777" w:rsidR="001A5648" w:rsidRDefault="001A5648" w:rsidP="001A5648">
      <w:pPr>
        <w:rPr>
          <w:rFonts w:asciiTheme="majorHAnsi" w:hAnsiTheme="majorHAnsi"/>
          <w:b/>
        </w:rPr>
      </w:pPr>
      <w:r>
        <w:rPr>
          <w:rFonts w:asciiTheme="majorHAnsi" w:hAnsiTheme="majorHAnsi"/>
          <w:b/>
        </w:rPr>
        <w:t>Lessons Learned:</w:t>
      </w:r>
    </w:p>
    <w:p w14:paraId="0797EEC8" w14:textId="686BA1C4" w:rsidR="00864145" w:rsidRDefault="00864145" w:rsidP="00864145">
      <w:pPr>
        <w:pStyle w:val="ListParagraph"/>
        <w:numPr>
          <w:ilvl w:val="0"/>
          <w:numId w:val="18"/>
        </w:numPr>
        <w:rPr>
          <w:rFonts w:asciiTheme="majorHAnsi" w:hAnsiTheme="majorHAnsi"/>
        </w:rPr>
      </w:pPr>
      <w:r>
        <w:rPr>
          <w:rFonts w:asciiTheme="majorHAnsi" w:hAnsiTheme="majorHAnsi"/>
        </w:rPr>
        <w:t xml:space="preserve">Contributors indicated a general lack of data use exchange agreements in LMIC. While this review was not exhaustive, some form of data use agreement was identified in </w:t>
      </w:r>
      <w:r w:rsidR="0086396A">
        <w:rPr>
          <w:rFonts w:asciiTheme="majorHAnsi" w:hAnsiTheme="majorHAnsi"/>
        </w:rPr>
        <w:t>Asia and Africa</w:t>
      </w:r>
      <w:r>
        <w:rPr>
          <w:rFonts w:asciiTheme="majorHAnsi" w:hAnsiTheme="majorHAnsi"/>
        </w:rPr>
        <w:t xml:space="preserve">. </w:t>
      </w:r>
    </w:p>
    <w:p w14:paraId="185B3C5B" w14:textId="632C22E4" w:rsidR="000F6188" w:rsidRDefault="00864145" w:rsidP="000F6188">
      <w:pPr>
        <w:pStyle w:val="ListParagraph"/>
        <w:numPr>
          <w:ilvl w:val="0"/>
          <w:numId w:val="18"/>
        </w:numPr>
        <w:rPr>
          <w:rFonts w:asciiTheme="majorHAnsi" w:hAnsiTheme="majorHAnsi"/>
        </w:rPr>
      </w:pPr>
      <w:r>
        <w:rPr>
          <w:rFonts w:asciiTheme="majorHAnsi" w:hAnsiTheme="majorHAnsi"/>
        </w:rPr>
        <w:t>The lack of data use agreements</w:t>
      </w:r>
      <w:r w:rsidR="0044544D">
        <w:rPr>
          <w:rFonts w:asciiTheme="majorHAnsi" w:hAnsiTheme="majorHAnsi"/>
        </w:rPr>
        <w:t xml:space="preserve"> in LMIC</w:t>
      </w:r>
      <w:r>
        <w:rPr>
          <w:rFonts w:asciiTheme="majorHAnsi" w:hAnsiTheme="majorHAnsi"/>
        </w:rPr>
        <w:t xml:space="preserve"> could be related to the challenges countries have experienced developing the business proce</w:t>
      </w:r>
      <w:r w:rsidR="003B7121">
        <w:rPr>
          <w:rFonts w:asciiTheme="majorHAnsi" w:hAnsiTheme="majorHAnsi"/>
        </w:rPr>
        <w:t>sses</w:t>
      </w:r>
      <w:r>
        <w:rPr>
          <w:rFonts w:asciiTheme="majorHAnsi" w:hAnsiTheme="majorHAnsi"/>
        </w:rPr>
        <w:t xml:space="preserve"> to support HIE and interoperability.</w:t>
      </w:r>
      <w:r w:rsidR="0044544D">
        <w:rPr>
          <w:rFonts w:asciiTheme="majorHAnsi" w:hAnsiTheme="majorHAnsi"/>
        </w:rPr>
        <w:t xml:space="preserve"> In cases where the focus for HIE is in the public sector and where the MoH is the main decision-maker for the health sector, data use agreements </w:t>
      </w:r>
      <w:r w:rsidR="000F6188">
        <w:rPr>
          <w:rFonts w:asciiTheme="majorHAnsi" w:hAnsiTheme="majorHAnsi"/>
        </w:rPr>
        <w:t>may not be</w:t>
      </w:r>
      <w:r w:rsidR="0044544D">
        <w:rPr>
          <w:rFonts w:asciiTheme="majorHAnsi" w:hAnsiTheme="majorHAnsi"/>
        </w:rPr>
        <w:t xml:space="preserve"> viewed as necessary because of MoH-issued requirements or mandates for data sharing.</w:t>
      </w:r>
      <w:r w:rsidR="007C287F">
        <w:rPr>
          <w:rFonts w:asciiTheme="majorHAnsi" w:hAnsiTheme="majorHAnsi"/>
        </w:rPr>
        <w:t xml:space="preserve"> Many countries indicated they are just beginning to engage the private sector and foresee a need for data exchange agreements in the near future.</w:t>
      </w:r>
    </w:p>
    <w:p w14:paraId="2F437140" w14:textId="457D7168" w:rsidR="000F6188" w:rsidRPr="000F6188" w:rsidRDefault="000F6188" w:rsidP="000F6188">
      <w:pPr>
        <w:pStyle w:val="ListParagraph"/>
        <w:numPr>
          <w:ilvl w:val="0"/>
          <w:numId w:val="18"/>
        </w:numPr>
        <w:rPr>
          <w:rFonts w:asciiTheme="majorHAnsi" w:hAnsiTheme="majorHAnsi"/>
        </w:rPr>
      </w:pPr>
      <w:r>
        <w:rPr>
          <w:rFonts w:asciiTheme="majorHAnsi" w:hAnsiTheme="majorHAnsi"/>
        </w:rPr>
        <w:t>Contributors expressed that data sharing agreements would likely be necessary for any inter-country</w:t>
      </w:r>
      <w:r w:rsidR="0017232A">
        <w:rPr>
          <w:rFonts w:asciiTheme="majorHAnsi" w:hAnsiTheme="majorHAnsi"/>
        </w:rPr>
        <w:t>/cross-border</w:t>
      </w:r>
      <w:r>
        <w:rPr>
          <w:rFonts w:asciiTheme="majorHAnsi" w:hAnsiTheme="majorHAnsi"/>
        </w:rPr>
        <w:t xml:space="preserve"> sharing, where issues of data “ownership,” permitted uses/reuse, and liability can play a large role.</w:t>
      </w:r>
    </w:p>
    <w:p w14:paraId="218EE435" w14:textId="7CD8F109" w:rsidR="001A5648" w:rsidRDefault="00032259" w:rsidP="001A5648">
      <w:pPr>
        <w:pStyle w:val="ListParagraph"/>
        <w:numPr>
          <w:ilvl w:val="0"/>
          <w:numId w:val="18"/>
        </w:numPr>
        <w:rPr>
          <w:rFonts w:asciiTheme="majorHAnsi" w:hAnsiTheme="majorHAnsi"/>
        </w:rPr>
      </w:pPr>
      <w:r>
        <w:rPr>
          <w:rFonts w:asciiTheme="majorHAnsi" w:hAnsiTheme="majorHAnsi"/>
        </w:rPr>
        <w:t>Only one of</w:t>
      </w:r>
      <w:r w:rsidR="005338DA">
        <w:rPr>
          <w:rFonts w:asciiTheme="majorHAnsi" w:hAnsiTheme="majorHAnsi"/>
        </w:rPr>
        <w:t xml:space="preserve"> the data use agreements reviewed include research as a permitted secondary use of data. Some contributors indicated research may be a lesser priority for countries in addition to perceived concerns about the lack of confidentiality</w:t>
      </w:r>
      <w:r w:rsidR="00BD09B2">
        <w:rPr>
          <w:rFonts w:asciiTheme="majorHAnsi" w:hAnsiTheme="majorHAnsi"/>
        </w:rPr>
        <w:t xml:space="preserve"> and unknown ramifications</w:t>
      </w:r>
      <w:r w:rsidR="005338DA">
        <w:rPr>
          <w:rFonts w:asciiTheme="majorHAnsi" w:hAnsiTheme="majorHAnsi"/>
        </w:rPr>
        <w:t xml:space="preserve"> </w:t>
      </w:r>
      <w:r w:rsidR="001008D7">
        <w:rPr>
          <w:rFonts w:asciiTheme="majorHAnsi" w:hAnsiTheme="majorHAnsi"/>
        </w:rPr>
        <w:t>o</w:t>
      </w:r>
      <w:r w:rsidR="00BD09B2">
        <w:rPr>
          <w:rFonts w:asciiTheme="majorHAnsi" w:hAnsiTheme="majorHAnsi"/>
        </w:rPr>
        <w:t>f</w:t>
      </w:r>
      <w:r w:rsidR="005338DA">
        <w:rPr>
          <w:rFonts w:asciiTheme="majorHAnsi" w:hAnsiTheme="majorHAnsi"/>
        </w:rPr>
        <w:t xml:space="preserve"> reusing data for research</w:t>
      </w:r>
      <w:r w:rsidR="007A7E42">
        <w:rPr>
          <w:rFonts w:asciiTheme="majorHAnsi" w:hAnsiTheme="majorHAnsi"/>
        </w:rPr>
        <w:t>.</w:t>
      </w:r>
    </w:p>
    <w:p w14:paraId="10CD8E34" w14:textId="5B3760B9" w:rsidR="006C3904" w:rsidRDefault="003B51A5" w:rsidP="006A3840">
      <w:pPr>
        <w:pStyle w:val="ListParagraph"/>
        <w:numPr>
          <w:ilvl w:val="0"/>
          <w:numId w:val="18"/>
        </w:numPr>
        <w:rPr>
          <w:b/>
          <w:sz w:val="28"/>
          <w:szCs w:val="28"/>
        </w:rPr>
        <w:sectPr w:rsidR="006C3904" w:rsidSect="00922F78">
          <w:footnotePr>
            <w:numFmt w:val="lowerLetter"/>
          </w:footnotePr>
          <w:pgSz w:w="15840" w:h="12240" w:orient="landscape"/>
          <w:pgMar w:top="1440" w:right="1440" w:bottom="1440" w:left="1440" w:header="720" w:footer="720" w:gutter="0"/>
          <w:cols w:space="720"/>
          <w:docGrid w:linePitch="360"/>
        </w:sectPr>
      </w:pPr>
      <w:r>
        <w:rPr>
          <w:rFonts w:asciiTheme="majorHAnsi" w:hAnsiTheme="majorHAnsi"/>
        </w:rPr>
        <w:t>Data use agreements can also extend to use cases including integration of social and behavioral data.</w:t>
      </w:r>
    </w:p>
    <w:p w14:paraId="38D5272D" w14:textId="104D6575" w:rsidR="006C3904" w:rsidRPr="00B64F6F" w:rsidRDefault="006C3904" w:rsidP="006C3904">
      <w:pPr>
        <w:spacing w:after="120"/>
        <w:rPr>
          <w:rFonts w:asciiTheme="majorHAnsi" w:hAnsiTheme="majorHAnsi"/>
          <w:b/>
        </w:rPr>
      </w:pPr>
      <w:r w:rsidRPr="00B64F6F">
        <w:rPr>
          <w:rFonts w:asciiTheme="majorHAnsi" w:hAnsiTheme="majorHAnsi"/>
          <w:b/>
        </w:rPr>
        <w:t xml:space="preserve">Table </w:t>
      </w:r>
      <w:r>
        <w:rPr>
          <w:rFonts w:asciiTheme="majorHAnsi" w:hAnsiTheme="majorHAnsi"/>
          <w:b/>
        </w:rPr>
        <w:t>4</w:t>
      </w:r>
      <w:r w:rsidRPr="00B64F6F">
        <w:rPr>
          <w:rFonts w:asciiTheme="majorHAnsi" w:hAnsiTheme="majorHAnsi"/>
          <w:b/>
        </w:rPr>
        <w:t>. Issues and Questions Addressed in Data Exchange Agreements</w:t>
      </w:r>
      <w:r>
        <w:rPr>
          <w:rFonts w:asciiTheme="majorHAnsi" w:hAnsiTheme="majorHAnsi"/>
          <w:b/>
        </w:rPr>
        <w:t xml:space="preserve"> Reviewed</w:t>
      </w:r>
    </w:p>
    <w:tbl>
      <w:tblPr>
        <w:tblStyle w:val="LightGrid-Accent3"/>
        <w:tblW w:w="0" w:type="auto"/>
        <w:tblLayout w:type="fixed"/>
        <w:tblLook w:val="04A0" w:firstRow="1" w:lastRow="0" w:firstColumn="1" w:lastColumn="0" w:noHBand="0" w:noVBand="1"/>
      </w:tblPr>
      <w:tblGrid>
        <w:gridCol w:w="2088"/>
        <w:gridCol w:w="1260"/>
        <w:gridCol w:w="1260"/>
        <w:gridCol w:w="1530"/>
        <w:gridCol w:w="1170"/>
        <w:gridCol w:w="1350"/>
        <w:gridCol w:w="918"/>
      </w:tblGrid>
      <w:tr w:rsidR="006C3904" w:rsidRPr="000E1F70" w14:paraId="55A00A2A" w14:textId="77777777" w:rsidTr="00E67C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44CAB5C" w14:textId="77777777" w:rsidR="006C3904" w:rsidRPr="000E1F70" w:rsidRDefault="006C3904" w:rsidP="00C4770F">
            <w:pPr>
              <w:jc w:val="center"/>
              <w:rPr>
                <w:sz w:val="20"/>
                <w:szCs w:val="20"/>
              </w:rPr>
            </w:pPr>
            <w:r w:rsidRPr="000E1F70">
              <w:rPr>
                <w:sz w:val="20"/>
                <w:szCs w:val="20"/>
              </w:rPr>
              <w:t>Issue or Question</w:t>
            </w:r>
          </w:p>
        </w:tc>
        <w:tc>
          <w:tcPr>
            <w:tcW w:w="1260" w:type="dxa"/>
            <w:vAlign w:val="center"/>
          </w:tcPr>
          <w:p w14:paraId="6C56C33C" w14:textId="77777777" w:rsidR="006C3904" w:rsidRPr="000E1F70" w:rsidRDefault="006C3904" w:rsidP="00C4770F">
            <w:pPr>
              <w:jc w:val="center"/>
              <w:cnfStyle w:val="100000000000" w:firstRow="1" w:lastRow="0" w:firstColumn="0" w:lastColumn="0" w:oddVBand="0" w:evenVBand="0" w:oddHBand="0" w:evenHBand="0" w:firstRowFirstColumn="0" w:firstRowLastColumn="0" w:lastRowFirstColumn="0" w:lastRowLastColumn="0"/>
              <w:rPr>
                <w:sz w:val="20"/>
                <w:szCs w:val="20"/>
              </w:rPr>
            </w:pPr>
            <w:r w:rsidRPr="000E1F70">
              <w:rPr>
                <w:sz w:val="20"/>
                <w:szCs w:val="20"/>
              </w:rPr>
              <w:t>Kambia Sierra Leone/ Forecariah Guinea</w:t>
            </w:r>
          </w:p>
        </w:tc>
        <w:tc>
          <w:tcPr>
            <w:tcW w:w="1260" w:type="dxa"/>
            <w:vAlign w:val="center"/>
          </w:tcPr>
          <w:p w14:paraId="578CB454" w14:textId="77777777" w:rsidR="006C3904" w:rsidRPr="000E1F70" w:rsidRDefault="006C3904" w:rsidP="00C4770F">
            <w:pPr>
              <w:jc w:val="center"/>
              <w:cnfStyle w:val="100000000000" w:firstRow="1" w:lastRow="0" w:firstColumn="0" w:lastColumn="0" w:oddVBand="0" w:evenVBand="0" w:oddHBand="0" w:evenHBand="0" w:firstRowFirstColumn="0" w:firstRowLastColumn="0" w:lastRowFirstColumn="0" w:lastRowLastColumn="0"/>
              <w:rPr>
                <w:sz w:val="20"/>
                <w:szCs w:val="20"/>
              </w:rPr>
            </w:pPr>
            <w:r w:rsidRPr="000E1F70">
              <w:rPr>
                <w:sz w:val="20"/>
                <w:szCs w:val="20"/>
              </w:rPr>
              <w:t>Philippine HIE</w:t>
            </w:r>
          </w:p>
        </w:tc>
        <w:tc>
          <w:tcPr>
            <w:tcW w:w="1530" w:type="dxa"/>
            <w:vAlign w:val="center"/>
          </w:tcPr>
          <w:p w14:paraId="4BEEEB22" w14:textId="77777777" w:rsidR="006C3904" w:rsidRPr="000E1F70" w:rsidRDefault="006C3904" w:rsidP="00C4770F">
            <w:pPr>
              <w:jc w:val="center"/>
              <w:cnfStyle w:val="100000000000" w:firstRow="1" w:lastRow="0" w:firstColumn="0" w:lastColumn="0" w:oddVBand="0" w:evenVBand="0" w:oddHBand="0" w:evenHBand="0" w:firstRowFirstColumn="0" w:firstRowLastColumn="0" w:lastRowFirstColumn="0" w:lastRowLastColumn="0"/>
              <w:rPr>
                <w:sz w:val="20"/>
                <w:szCs w:val="20"/>
              </w:rPr>
            </w:pPr>
            <w:r w:rsidRPr="000E1F70">
              <w:rPr>
                <w:sz w:val="20"/>
                <w:szCs w:val="20"/>
              </w:rPr>
              <w:t>Philippine Social Welfare &amp; Economic Development</w:t>
            </w:r>
          </w:p>
        </w:tc>
        <w:tc>
          <w:tcPr>
            <w:tcW w:w="1170" w:type="dxa"/>
            <w:vAlign w:val="center"/>
          </w:tcPr>
          <w:p w14:paraId="27BF516B" w14:textId="77777777" w:rsidR="006C3904" w:rsidRPr="000E1F70" w:rsidRDefault="006C3904" w:rsidP="00C4770F">
            <w:pPr>
              <w:jc w:val="center"/>
              <w:cnfStyle w:val="100000000000" w:firstRow="1" w:lastRow="0" w:firstColumn="0" w:lastColumn="0" w:oddVBand="0" w:evenVBand="0" w:oddHBand="0" w:evenHBand="0" w:firstRowFirstColumn="0" w:firstRowLastColumn="0" w:lastRowFirstColumn="0" w:lastRowLastColumn="0"/>
              <w:rPr>
                <w:sz w:val="20"/>
                <w:szCs w:val="20"/>
              </w:rPr>
            </w:pPr>
            <w:r w:rsidRPr="000E1F70">
              <w:rPr>
                <w:sz w:val="20"/>
                <w:szCs w:val="20"/>
              </w:rPr>
              <w:t>eHealth Exchange (U.S.)</w:t>
            </w:r>
          </w:p>
        </w:tc>
        <w:tc>
          <w:tcPr>
            <w:tcW w:w="1350" w:type="dxa"/>
            <w:vAlign w:val="center"/>
          </w:tcPr>
          <w:p w14:paraId="71A33615" w14:textId="77777777" w:rsidR="006C3904" w:rsidRPr="000E1F70" w:rsidRDefault="006C3904" w:rsidP="00C4770F">
            <w:pPr>
              <w:jc w:val="center"/>
              <w:cnfStyle w:val="100000000000" w:firstRow="1" w:lastRow="0" w:firstColumn="0" w:lastColumn="0" w:oddVBand="0" w:evenVBand="0" w:oddHBand="0" w:evenHBand="0" w:firstRowFirstColumn="0" w:firstRowLastColumn="0" w:lastRowFirstColumn="0" w:lastRowLastColumn="0"/>
              <w:rPr>
                <w:sz w:val="20"/>
                <w:szCs w:val="20"/>
              </w:rPr>
            </w:pPr>
            <w:r w:rsidRPr="000E1F70">
              <w:rPr>
                <w:sz w:val="20"/>
                <w:szCs w:val="20"/>
              </w:rPr>
              <w:t>Carequality (U.S.)</w:t>
            </w:r>
          </w:p>
        </w:tc>
        <w:tc>
          <w:tcPr>
            <w:tcW w:w="918" w:type="dxa"/>
            <w:vAlign w:val="center"/>
          </w:tcPr>
          <w:p w14:paraId="1D5EB705" w14:textId="77777777" w:rsidR="006C3904" w:rsidRPr="000E1F70" w:rsidRDefault="006C3904" w:rsidP="00C4770F">
            <w:pPr>
              <w:jc w:val="center"/>
              <w:cnfStyle w:val="100000000000" w:firstRow="1" w:lastRow="0" w:firstColumn="0" w:lastColumn="0" w:oddVBand="0" w:evenVBand="0" w:oddHBand="0" w:evenHBand="0" w:firstRowFirstColumn="0" w:firstRowLastColumn="0" w:lastRowFirstColumn="0" w:lastRowLastColumn="0"/>
              <w:rPr>
                <w:sz w:val="20"/>
                <w:szCs w:val="20"/>
              </w:rPr>
            </w:pPr>
            <w:r w:rsidRPr="000E1F70">
              <w:rPr>
                <w:sz w:val="20"/>
                <w:szCs w:val="20"/>
              </w:rPr>
              <w:t>Indian Health Service MPA (U.S.)</w:t>
            </w:r>
            <w:r w:rsidRPr="000E1F70">
              <w:rPr>
                <w:rStyle w:val="FootnoteReference"/>
                <w:sz w:val="20"/>
                <w:szCs w:val="20"/>
              </w:rPr>
              <w:footnoteReference w:id="15"/>
            </w:r>
          </w:p>
        </w:tc>
      </w:tr>
      <w:tr w:rsidR="006C3904" w:rsidRPr="00B64F6F" w14:paraId="436C832F"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7B2D4CE" w14:textId="77777777" w:rsidR="006C3904" w:rsidRPr="000E1F70" w:rsidRDefault="006C3904" w:rsidP="00C4770F">
            <w:pPr>
              <w:rPr>
                <w:sz w:val="20"/>
                <w:szCs w:val="20"/>
              </w:rPr>
            </w:pPr>
            <w:r w:rsidRPr="000E1F70">
              <w:rPr>
                <w:sz w:val="20"/>
                <w:szCs w:val="20"/>
              </w:rPr>
              <w:t>Addresses exclusively PII (as opposed to aggregate data sharing)</w:t>
            </w:r>
          </w:p>
        </w:tc>
        <w:tc>
          <w:tcPr>
            <w:tcW w:w="1260" w:type="dxa"/>
            <w:vAlign w:val="center"/>
          </w:tcPr>
          <w:p w14:paraId="229AE417"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260" w:type="dxa"/>
            <w:vAlign w:val="center"/>
          </w:tcPr>
          <w:p w14:paraId="2B2D0692"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7961DC10"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170" w:type="dxa"/>
            <w:vAlign w:val="center"/>
          </w:tcPr>
          <w:p w14:paraId="3A444787"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6878C74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7C82DD30"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00304772"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4F16895" w14:textId="77777777" w:rsidR="006C3904" w:rsidRPr="000E1F70" w:rsidRDefault="006C3904" w:rsidP="00C4770F">
            <w:pPr>
              <w:rPr>
                <w:sz w:val="20"/>
                <w:szCs w:val="20"/>
              </w:rPr>
            </w:pPr>
            <w:r w:rsidRPr="000E1F70">
              <w:rPr>
                <w:sz w:val="20"/>
                <w:szCs w:val="20"/>
              </w:rPr>
              <w:t>Discusses existing laws and regulations that create baseline requirements</w:t>
            </w:r>
          </w:p>
        </w:tc>
        <w:tc>
          <w:tcPr>
            <w:tcW w:w="1260" w:type="dxa"/>
            <w:vAlign w:val="center"/>
          </w:tcPr>
          <w:p w14:paraId="2C45F30C"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1289E1D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4EA8A2DB"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70" w:type="dxa"/>
            <w:vAlign w:val="center"/>
          </w:tcPr>
          <w:p w14:paraId="367C9189"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63E816C6"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59BE9A3F"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4ADE7087"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7318ABF" w14:textId="77777777" w:rsidR="006C3904" w:rsidRPr="000E1F70" w:rsidRDefault="006C3904" w:rsidP="00C4770F">
            <w:pPr>
              <w:rPr>
                <w:sz w:val="20"/>
                <w:szCs w:val="20"/>
              </w:rPr>
            </w:pPr>
            <w:r w:rsidRPr="000E1F70">
              <w:rPr>
                <w:sz w:val="20"/>
                <w:szCs w:val="20"/>
              </w:rPr>
              <w:t>Discusses the governance body for the network</w:t>
            </w:r>
          </w:p>
        </w:tc>
        <w:tc>
          <w:tcPr>
            <w:tcW w:w="1260" w:type="dxa"/>
            <w:vAlign w:val="center"/>
          </w:tcPr>
          <w:p w14:paraId="22A4B348"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260" w:type="dxa"/>
            <w:vAlign w:val="center"/>
          </w:tcPr>
          <w:p w14:paraId="237E969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4A64ED7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1CF78FD5"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6055936D"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4E05AD84"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7E0E2328"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28FC123" w14:textId="77777777" w:rsidR="006C3904" w:rsidRPr="000E1F70" w:rsidRDefault="006C3904" w:rsidP="00C4770F">
            <w:pPr>
              <w:rPr>
                <w:sz w:val="20"/>
                <w:szCs w:val="20"/>
              </w:rPr>
            </w:pPr>
            <w:r w:rsidRPr="000E1F70">
              <w:rPr>
                <w:sz w:val="20"/>
                <w:szCs w:val="20"/>
              </w:rPr>
              <w:t>Specifies the permitted use cases for exchange</w:t>
            </w:r>
          </w:p>
        </w:tc>
        <w:tc>
          <w:tcPr>
            <w:tcW w:w="1260" w:type="dxa"/>
            <w:vAlign w:val="center"/>
          </w:tcPr>
          <w:p w14:paraId="6FF12A3D"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260" w:type="dxa"/>
            <w:vAlign w:val="center"/>
          </w:tcPr>
          <w:p w14:paraId="11EE4DCA"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7E2AF9F3"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170" w:type="dxa"/>
            <w:vAlign w:val="center"/>
          </w:tcPr>
          <w:p w14:paraId="51C3C8A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5EF48ACC"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667DAACB"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265AB245"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F67A792" w14:textId="77777777" w:rsidR="006C3904" w:rsidRPr="000E1F70" w:rsidRDefault="006C3904" w:rsidP="00C4770F">
            <w:pPr>
              <w:rPr>
                <w:sz w:val="20"/>
                <w:szCs w:val="20"/>
              </w:rPr>
            </w:pPr>
            <w:r w:rsidRPr="000E1F70">
              <w:rPr>
                <w:sz w:val="20"/>
                <w:szCs w:val="20"/>
              </w:rPr>
              <w:t>Explicitly addresses data exchange across country borders</w:t>
            </w:r>
          </w:p>
        </w:tc>
        <w:tc>
          <w:tcPr>
            <w:tcW w:w="1260" w:type="dxa"/>
            <w:vAlign w:val="center"/>
          </w:tcPr>
          <w:p w14:paraId="46947769"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260" w:type="dxa"/>
            <w:vAlign w:val="center"/>
          </w:tcPr>
          <w:p w14:paraId="48B5DC39"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30" w:type="dxa"/>
            <w:vAlign w:val="center"/>
          </w:tcPr>
          <w:p w14:paraId="03CE51D3"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1D25BA56"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350" w:type="dxa"/>
            <w:vAlign w:val="center"/>
          </w:tcPr>
          <w:p w14:paraId="4B6A2EF0"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18" w:type="dxa"/>
            <w:vAlign w:val="center"/>
          </w:tcPr>
          <w:p w14:paraId="439781C8"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C3904" w:rsidRPr="00B64F6F" w14:paraId="4108ABAF"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075C807" w14:textId="77777777" w:rsidR="006C3904" w:rsidRPr="000E1F70" w:rsidRDefault="006C3904" w:rsidP="00C4770F">
            <w:pPr>
              <w:rPr>
                <w:sz w:val="20"/>
                <w:szCs w:val="20"/>
              </w:rPr>
            </w:pPr>
            <w:r w:rsidRPr="000E1F70">
              <w:rPr>
                <w:sz w:val="20"/>
                <w:szCs w:val="20"/>
              </w:rPr>
              <w:t>Explicitly discusses secondary uses for exchanged data</w:t>
            </w:r>
          </w:p>
        </w:tc>
        <w:tc>
          <w:tcPr>
            <w:tcW w:w="1260" w:type="dxa"/>
            <w:vAlign w:val="center"/>
          </w:tcPr>
          <w:p w14:paraId="4187688B"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02C27897"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30" w:type="dxa"/>
            <w:vAlign w:val="center"/>
          </w:tcPr>
          <w:p w14:paraId="7998DA7F"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170" w:type="dxa"/>
            <w:vAlign w:val="center"/>
          </w:tcPr>
          <w:p w14:paraId="78032954"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2C55819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6758498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42E39C56"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4AF3FE7" w14:textId="77777777" w:rsidR="006C3904" w:rsidRPr="000E1F70" w:rsidRDefault="006C3904" w:rsidP="00C4770F">
            <w:pPr>
              <w:rPr>
                <w:sz w:val="20"/>
                <w:szCs w:val="20"/>
              </w:rPr>
            </w:pPr>
            <w:r w:rsidRPr="000E1F70">
              <w:rPr>
                <w:sz w:val="20"/>
                <w:szCs w:val="20"/>
              </w:rPr>
              <w:t>Addresses the requirements for obtaining patient consent</w:t>
            </w:r>
          </w:p>
        </w:tc>
        <w:tc>
          <w:tcPr>
            <w:tcW w:w="1260" w:type="dxa"/>
            <w:vAlign w:val="center"/>
          </w:tcPr>
          <w:p w14:paraId="523346E6"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260" w:type="dxa"/>
            <w:vAlign w:val="center"/>
          </w:tcPr>
          <w:p w14:paraId="1433D86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24026C2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0BFC8BA9"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7286844B"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2D8E3067"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4D7178F8"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0F15C92" w14:textId="77777777" w:rsidR="006C3904" w:rsidRPr="000E1F70" w:rsidRDefault="006C3904" w:rsidP="00C4770F">
            <w:pPr>
              <w:rPr>
                <w:sz w:val="20"/>
                <w:szCs w:val="20"/>
              </w:rPr>
            </w:pPr>
            <w:r w:rsidRPr="000E1F70">
              <w:rPr>
                <w:sz w:val="20"/>
                <w:szCs w:val="20"/>
              </w:rPr>
              <w:t>Explicitly permits patient access to data</w:t>
            </w:r>
          </w:p>
        </w:tc>
        <w:tc>
          <w:tcPr>
            <w:tcW w:w="1260" w:type="dxa"/>
            <w:vAlign w:val="center"/>
          </w:tcPr>
          <w:p w14:paraId="367911E6"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5DB07B9F"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30" w:type="dxa"/>
            <w:vAlign w:val="center"/>
          </w:tcPr>
          <w:p w14:paraId="56835F26"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70" w:type="dxa"/>
            <w:vAlign w:val="center"/>
          </w:tcPr>
          <w:p w14:paraId="08E60D39"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7C960411"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18" w:type="dxa"/>
            <w:vAlign w:val="center"/>
          </w:tcPr>
          <w:p w14:paraId="22270181"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067B6760"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53AAA66" w14:textId="77777777" w:rsidR="006C3904" w:rsidRPr="000E1F70" w:rsidRDefault="006C3904" w:rsidP="00C4770F">
            <w:pPr>
              <w:rPr>
                <w:sz w:val="20"/>
                <w:szCs w:val="20"/>
              </w:rPr>
            </w:pPr>
            <w:r w:rsidRPr="000E1F70">
              <w:rPr>
                <w:sz w:val="20"/>
                <w:szCs w:val="20"/>
              </w:rPr>
              <w:t>Specifies that participants are required to be in production</w:t>
            </w:r>
          </w:p>
        </w:tc>
        <w:tc>
          <w:tcPr>
            <w:tcW w:w="1260" w:type="dxa"/>
            <w:vAlign w:val="center"/>
          </w:tcPr>
          <w:p w14:paraId="06A7B88A"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260" w:type="dxa"/>
            <w:vAlign w:val="center"/>
          </w:tcPr>
          <w:p w14:paraId="6B5F436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30" w:type="dxa"/>
            <w:vAlign w:val="center"/>
          </w:tcPr>
          <w:p w14:paraId="40AA7667"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668D241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4FAF2614"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0D54BA4A"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C3904" w:rsidRPr="00B64F6F" w14:paraId="54E16E91"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7399415" w14:textId="77777777" w:rsidR="006C3904" w:rsidRPr="000E1F70" w:rsidRDefault="006C3904" w:rsidP="00C4770F">
            <w:pPr>
              <w:rPr>
                <w:sz w:val="20"/>
                <w:szCs w:val="20"/>
              </w:rPr>
            </w:pPr>
            <w:r w:rsidRPr="000E1F70">
              <w:rPr>
                <w:sz w:val="20"/>
                <w:szCs w:val="20"/>
              </w:rPr>
              <w:t>Explicitly requires participants to respond to data requests</w:t>
            </w:r>
          </w:p>
        </w:tc>
        <w:tc>
          <w:tcPr>
            <w:tcW w:w="1260" w:type="dxa"/>
            <w:vAlign w:val="center"/>
          </w:tcPr>
          <w:p w14:paraId="06F2CB0A"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2B63F735"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30" w:type="dxa"/>
            <w:vAlign w:val="center"/>
          </w:tcPr>
          <w:p w14:paraId="350F650D"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170" w:type="dxa"/>
            <w:vAlign w:val="center"/>
          </w:tcPr>
          <w:p w14:paraId="2AA4716D"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01A023F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778F70A5"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6C3904" w:rsidRPr="00B64F6F" w14:paraId="165823D1"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75B8305" w14:textId="77777777" w:rsidR="006C3904" w:rsidRPr="000E1F70" w:rsidRDefault="006C3904" w:rsidP="00C4770F">
            <w:pPr>
              <w:rPr>
                <w:sz w:val="20"/>
                <w:szCs w:val="20"/>
              </w:rPr>
            </w:pPr>
            <w:r w:rsidRPr="000E1F70">
              <w:rPr>
                <w:sz w:val="20"/>
                <w:szCs w:val="20"/>
              </w:rPr>
              <w:t>Specifies the process for reporting breaches or addressing exchange issues</w:t>
            </w:r>
          </w:p>
        </w:tc>
        <w:tc>
          <w:tcPr>
            <w:tcW w:w="1260" w:type="dxa"/>
            <w:vAlign w:val="center"/>
          </w:tcPr>
          <w:p w14:paraId="3CBE488F"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260" w:type="dxa"/>
            <w:vAlign w:val="center"/>
          </w:tcPr>
          <w:p w14:paraId="6AF26572"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702ABBE6"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32775F91"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2899FEA4"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36CA9F90"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6C3904" w:rsidRPr="00B64F6F" w14:paraId="43F1CDF0"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E62CDDC" w14:textId="77777777" w:rsidR="006C3904" w:rsidRPr="000E1F70" w:rsidRDefault="006C3904" w:rsidP="00C4770F">
            <w:pPr>
              <w:rPr>
                <w:sz w:val="20"/>
                <w:szCs w:val="20"/>
              </w:rPr>
            </w:pPr>
            <w:r w:rsidRPr="000E1F70">
              <w:rPr>
                <w:sz w:val="20"/>
                <w:szCs w:val="20"/>
              </w:rPr>
              <w:t>Allows participants to establish local rules and policies on users who can access the system</w:t>
            </w:r>
          </w:p>
        </w:tc>
        <w:tc>
          <w:tcPr>
            <w:tcW w:w="1260" w:type="dxa"/>
            <w:vAlign w:val="center"/>
          </w:tcPr>
          <w:p w14:paraId="3F804EF5"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3861E545"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30" w:type="dxa"/>
            <w:vAlign w:val="center"/>
          </w:tcPr>
          <w:p w14:paraId="1EA560DC"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70" w:type="dxa"/>
            <w:vAlign w:val="center"/>
          </w:tcPr>
          <w:p w14:paraId="498194C3"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0B34E99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07F1024C"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6C3904" w:rsidRPr="00B64F6F" w14:paraId="0CF21FC1"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E765019" w14:textId="77777777" w:rsidR="006C3904" w:rsidRPr="000E1F70" w:rsidRDefault="006C3904" w:rsidP="00C4770F">
            <w:pPr>
              <w:rPr>
                <w:sz w:val="20"/>
                <w:szCs w:val="20"/>
              </w:rPr>
            </w:pPr>
            <w:r w:rsidRPr="000E1F70">
              <w:rPr>
                <w:sz w:val="20"/>
                <w:szCs w:val="20"/>
              </w:rPr>
              <w:t>Specifies requirements around data accuracy and completeness</w:t>
            </w:r>
          </w:p>
        </w:tc>
        <w:tc>
          <w:tcPr>
            <w:tcW w:w="1260" w:type="dxa"/>
            <w:vAlign w:val="center"/>
          </w:tcPr>
          <w:p w14:paraId="0BEB95B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260" w:type="dxa"/>
            <w:vAlign w:val="center"/>
          </w:tcPr>
          <w:p w14:paraId="67DC5883"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0B3C862A"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2BF3B44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3F58CCE8"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4CB9BF71"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5ADB5391"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FB8F073" w14:textId="77777777" w:rsidR="006C3904" w:rsidRPr="000E1F70" w:rsidRDefault="006C3904" w:rsidP="00C4770F">
            <w:pPr>
              <w:rPr>
                <w:sz w:val="20"/>
                <w:szCs w:val="20"/>
              </w:rPr>
            </w:pPr>
            <w:r w:rsidRPr="000E1F70">
              <w:rPr>
                <w:sz w:val="20"/>
                <w:szCs w:val="20"/>
              </w:rPr>
              <w:t>Requires a dispute resolution process</w:t>
            </w:r>
          </w:p>
        </w:tc>
        <w:tc>
          <w:tcPr>
            <w:tcW w:w="1260" w:type="dxa"/>
            <w:vAlign w:val="center"/>
          </w:tcPr>
          <w:p w14:paraId="34ED549A"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0FD37635"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30" w:type="dxa"/>
            <w:vAlign w:val="center"/>
          </w:tcPr>
          <w:p w14:paraId="3E6A961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70" w:type="dxa"/>
            <w:vAlign w:val="center"/>
          </w:tcPr>
          <w:p w14:paraId="1A0BB03E"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4D74F87D"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1B6DB592"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6C3904" w:rsidRPr="00B64F6F" w14:paraId="5F9795B2"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B21BDFD" w14:textId="77777777" w:rsidR="006C3904" w:rsidRPr="000E1F70" w:rsidRDefault="006C3904" w:rsidP="00C4770F">
            <w:pPr>
              <w:rPr>
                <w:sz w:val="20"/>
                <w:szCs w:val="20"/>
              </w:rPr>
            </w:pPr>
            <w:r w:rsidRPr="000E1F70">
              <w:rPr>
                <w:sz w:val="20"/>
                <w:szCs w:val="20"/>
              </w:rPr>
              <w:t>Specifies responsibilities for liability</w:t>
            </w:r>
          </w:p>
        </w:tc>
        <w:tc>
          <w:tcPr>
            <w:tcW w:w="1260" w:type="dxa"/>
            <w:vAlign w:val="center"/>
          </w:tcPr>
          <w:p w14:paraId="4882645B"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260" w:type="dxa"/>
            <w:vAlign w:val="center"/>
          </w:tcPr>
          <w:p w14:paraId="4D50E1E8"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30" w:type="dxa"/>
            <w:vAlign w:val="center"/>
          </w:tcPr>
          <w:p w14:paraId="32F75BDF"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568C44A4"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5E321E1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43BA5D3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2CA32453"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556B1C4" w14:textId="77777777" w:rsidR="006C3904" w:rsidRPr="000E1F70" w:rsidRDefault="006C3904" w:rsidP="00C4770F">
            <w:pPr>
              <w:rPr>
                <w:sz w:val="20"/>
                <w:szCs w:val="20"/>
              </w:rPr>
            </w:pPr>
            <w:r w:rsidRPr="000E1F70">
              <w:rPr>
                <w:sz w:val="20"/>
                <w:szCs w:val="20"/>
              </w:rPr>
              <w:t>Sets requirements for auditing system use and access</w:t>
            </w:r>
          </w:p>
        </w:tc>
        <w:tc>
          <w:tcPr>
            <w:tcW w:w="1260" w:type="dxa"/>
            <w:vAlign w:val="center"/>
          </w:tcPr>
          <w:p w14:paraId="79EE9FD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5275F92E"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12E534E7"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70" w:type="dxa"/>
            <w:vAlign w:val="center"/>
          </w:tcPr>
          <w:p w14:paraId="7E2B3790"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5AFF919D"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19820915"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4488FCA0" w14:textId="77777777" w:rsidTr="00C47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9B558C0" w14:textId="77777777" w:rsidR="006C3904" w:rsidRPr="000E1F70" w:rsidRDefault="006C3904" w:rsidP="00C4770F">
            <w:pPr>
              <w:rPr>
                <w:sz w:val="20"/>
                <w:szCs w:val="20"/>
              </w:rPr>
            </w:pPr>
            <w:r w:rsidRPr="000E1F70">
              <w:rPr>
                <w:sz w:val="20"/>
                <w:szCs w:val="20"/>
              </w:rPr>
              <w:t>Explicitly includes requirements for identity proofing and authentication</w:t>
            </w:r>
          </w:p>
        </w:tc>
        <w:tc>
          <w:tcPr>
            <w:tcW w:w="1260" w:type="dxa"/>
            <w:vAlign w:val="center"/>
          </w:tcPr>
          <w:p w14:paraId="0D1A7400"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260" w:type="dxa"/>
            <w:vAlign w:val="center"/>
          </w:tcPr>
          <w:p w14:paraId="4AE0EAF5"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31A2935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70" w:type="dxa"/>
            <w:vAlign w:val="center"/>
          </w:tcPr>
          <w:p w14:paraId="44FC593C"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1FF835B4"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10310B3E" w14:textId="77777777" w:rsidR="006C3904" w:rsidRPr="00B64F6F" w:rsidRDefault="006C3904" w:rsidP="00C4770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r w:rsidR="006C3904" w:rsidRPr="00B64F6F" w14:paraId="18D96470" w14:textId="77777777" w:rsidTr="00C47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6505B51" w14:textId="77777777" w:rsidR="006C3904" w:rsidRPr="000E1F70" w:rsidRDefault="006C3904" w:rsidP="00C4770F">
            <w:pPr>
              <w:rPr>
                <w:sz w:val="20"/>
                <w:szCs w:val="20"/>
              </w:rPr>
            </w:pPr>
            <w:r w:rsidRPr="000E1F70">
              <w:rPr>
                <w:sz w:val="20"/>
                <w:szCs w:val="20"/>
              </w:rPr>
              <w:t>Discusses additional privacy, confidentiality, and security requirements beyond identity proofing and authentication</w:t>
            </w:r>
          </w:p>
        </w:tc>
        <w:tc>
          <w:tcPr>
            <w:tcW w:w="1260" w:type="dxa"/>
            <w:vAlign w:val="center"/>
          </w:tcPr>
          <w:p w14:paraId="63CC206B"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vAlign w:val="center"/>
          </w:tcPr>
          <w:p w14:paraId="29049B97"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530" w:type="dxa"/>
            <w:vAlign w:val="center"/>
          </w:tcPr>
          <w:p w14:paraId="30D1A6DB"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70" w:type="dxa"/>
            <w:vAlign w:val="center"/>
          </w:tcPr>
          <w:p w14:paraId="75FADF78"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1350" w:type="dxa"/>
            <w:vAlign w:val="center"/>
          </w:tcPr>
          <w:p w14:paraId="345BFC79"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c>
          <w:tcPr>
            <w:tcW w:w="918" w:type="dxa"/>
            <w:vAlign w:val="center"/>
          </w:tcPr>
          <w:p w14:paraId="47F18DCA" w14:textId="77777777" w:rsidR="006C3904" w:rsidRPr="00B64F6F" w:rsidRDefault="006C3904" w:rsidP="00C4770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B64F6F">
              <w:rPr>
                <w:rFonts w:asciiTheme="majorHAnsi" w:hAnsiTheme="majorHAnsi"/>
              </w:rPr>
              <w:sym w:font="Wingdings 2" w:char="F050"/>
            </w:r>
          </w:p>
        </w:tc>
      </w:tr>
    </w:tbl>
    <w:p w14:paraId="66EEDF4C" w14:textId="4BD47229" w:rsidR="006C3904" w:rsidRPr="00844823" w:rsidRDefault="006C3904" w:rsidP="006C3904">
      <w:pPr>
        <w:rPr>
          <w:rFonts w:asciiTheme="majorHAnsi" w:hAnsiTheme="majorHAnsi"/>
          <w:sz w:val="20"/>
          <w:szCs w:val="20"/>
        </w:rPr>
      </w:pPr>
      <w:r w:rsidRPr="00844823">
        <w:rPr>
          <w:rFonts w:asciiTheme="majorHAnsi" w:hAnsiTheme="majorHAnsi"/>
          <w:sz w:val="20"/>
          <w:szCs w:val="20"/>
        </w:rPr>
        <w:t>*Note that standards and platform requirements are generally presented i</w:t>
      </w:r>
      <w:r w:rsidR="00936FAA">
        <w:rPr>
          <w:rFonts w:asciiTheme="majorHAnsi" w:hAnsiTheme="majorHAnsi"/>
          <w:sz w:val="20"/>
          <w:szCs w:val="20"/>
        </w:rPr>
        <w:t xml:space="preserve">n onboarding requirements or in </w:t>
      </w:r>
      <w:r w:rsidRPr="00844823">
        <w:rPr>
          <w:rFonts w:asciiTheme="majorHAnsi" w:hAnsiTheme="majorHAnsi"/>
          <w:sz w:val="20"/>
          <w:szCs w:val="20"/>
        </w:rPr>
        <w:t>operational procedures that are separate documents from the formal data use agreement.</w:t>
      </w:r>
    </w:p>
    <w:p w14:paraId="65943CD4" w14:textId="2DAAE986" w:rsidR="00866F20" w:rsidRDefault="00866F20" w:rsidP="0021308F">
      <w:pPr>
        <w:rPr>
          <w:rFonts w:asciiTheme="majorHAnsi" w:hAnsiTheme="majorHAnsi"/>
          <w:b/>
          <w:sz w:val="28"/>
          <w:szCs w:val="28"/>
        </w:rPr>
        <w:sectPr w:rsidR="00866F20" w:rsidSect="006C3904">
          <w:footnotePr>
            <w:numFmt w:val="lowerLetter"/>
          </w:footnotePr>
          <w:pgSz w:w="12240" w:h="15840"/>
          <w:pgMar w:top="1440" w:right="1440" w:bottom="1440" w:left="1440" w:header="720" w:footer="720" w:gutter="0"/>
          <w:cols w:space="720"/>
          <w:docGrid w:linePitch="360"/>
        </w:sectPr>
      </w:pPr>
    </w:p>
    <w:p w14:paraId="4B64F6B9" w14:textId="53DED805" w:rsidR="00866F20" w:rsidRDefault="00866F20" w:rsidP="00B96346">
      <w:pPr>
        <w:pStyle w:val="Heading4"/>
        <w:spacing w:before="0"/>
        <w:jc w:val="center"/>
        <w:rPr>
          <w:color w:val="auto"/>
          <w:sz w:val="28"/>
          <w:szCs w:val="28"/>
        </w:rPr>
      </w:pPr>
      <w:bookmarkStart w:id="17" w:name="_Ref445906225"/>
      <w:bookmarkStart w:id="18" w:name="_Ref446328812"/>
      <w:r w:rsidRPr="00840A28">
        <w:rPr>
          <w:color w:val="auto"/>
          <w:sz w:val="28"/>
          <w:szCs w:val="28"/>
        </w:rPr>
        <w:t>Best Practices Feature #</w:t>
      </w:r>
      <w:r>
        <w:rPr>
          <w:color w:val="auto"/>
          <w:sz w:val="28"/>
          <w:szCs w:val="28"/>
        </w:rPr>
        <w:t>4</w:t>
      </w:r>
      <w:r w:rsidRPr="00840A28">
        <w:rPr>
          <w:color w:val="auto"/>
          <w:sz w:val="28"/>
          <w:szCs w:val="28"/>
        </w:rPr>
        <w:t xml:space="preserve"> – </w:t>
      </w:r>
      <w:r>
        <w:rPr>
          <w:color w:val="auto"/>
          <w:sz w:val="28"/>
          <w:szCs w:val="28"/>
        </w:rPr>
        <w:t>Data Use Agreements</w:t>
      </w:r>
      <w:r w:rsidRPr="00840A28">
        <w:rPr>
          <w:color w:val="auto"/>
          <w:sz w:val="28"/>
          <w:szCs w:val="28"/>
        </w:rPr>
        <w:t xml:space="preserve"> in </w:t>
      </w:r>
      <w:r>
        <w:rPr>
          <w:color w:val="auto"/>
          <w:sz w:val="28"/>
          <w:szCs w:val="28"/>
        </w:rPr>
        <w:t>the United States</w:t>
      </w:r>
      <w:bookmarkEnd w:id="17"/>
      <w:bookmarkEnd w:id="18"/>
    </w:p>
    <w:p w14:paraId="0F381F62" w14:textId="77777777" w:rsidR="00864145" w:rsidRDefault="00864145" w:rsidP="00864145"/>
    <w:p w14:paraId="226A4079" w14:textId="6227EE66" w:rsidR="009568A4" w:rsidRPr="00A1080E" w:rsidRDefault="009568A4" w:rsidP="00864145">
      <w:pPr>
        <w:rPr>
          <w:rFonts w:asciiTheme="majorHAnsi" w:hAnsiTheme="majorHAnsi"/>
          <w:i/>
        </w:rPr>
      </w:pPr>
      <w:r w:rsidRPr="00A1080E">
        <w:rPr>
          <w:rFonts w:asciiTheme="majorHAnsi" w:hAnsiTheme="majorHAnsi"/>
          <w:i/>
        </w:rPr>
        <w:t>The data use agreement model</w:t>
      </w:r>
      <w:r w:rsidR="00113041" w:rsidRPr="00A1080E">
        <w:rPr>
          <w:rFonts w:asciiTheme="majorHAnsi" w:hAnsiTheme="majorHAnsi"/>
          <w:i/>
        </w:rPr>
        <w:t xml:space="preserve"> implemented</w:t>
      </w:r>
      <w:r w:rsidRPr="00A1080E">
        <w:rPr>
          <w:rFonts w:asciiTheme="majorHAnsi" w:hAnsiTheme="majorHAnsi"/>
          <w:i/>
        </w:rPr>
        <w:t xml:space="preserve"> in the U.S. may not be applicable for every country. </w:t>
      </w:r>
      <w:r w:rsidR="0054694C" w:rsidRPr="00A1080E">
        <w:rPr>
          <w:rFonts w:asciiTheme="majorHAnsi" w:hAnsiTheme="majorHAnsi"/>
          <w:i/>
        </w:rPr>
        <w:t xml:space="preserve">As noted above, </w:t>
      </w:r>
      <w:r w:rsidR="005C75F5" w:rsidRPr="00A1080E">
        <w:rPr>
          <w:rFonts w:asciiTheme="majorHAnsi" w:hAnsiTheme="majorHAnsi"/>
          <w:i/>
        </w:rPr>
        <w:t>the finer points included in</w:t>
      </w:r>
      <w:r w:rsidR="0054694C" w:rsidRPr="00A1080E">
        <w:rPr>
          <w:rFonts w:asciiTheme="majorHAnsi" w:hAnsiTheme="majorHAnsi"/>
          <w:i/>
        </w:rPr>
        <w:t xml:space="preserve"> a data use agreement will depend on the purpose or goal of the data use agreement; the parties involved in the agreement; the structure of the health care system and the major stakeholders; the structure of the legal system; and cultural views on trust and liability.</w:t>
      </w:r>
      <w:r w:rsidR="000C63CC" w:rsidRPr="00A1080E">
        <w:rPr>
          <w:rFonts w:asciiTheme="majorHAnsi" w:hAnsiTheme="majorHAnsi"/>
          <w:i/>
        </w:rPr>
        <w:t xml:space="preserve"> </w:t>
      </w:r>
      <w:r w:rsidR="00AB3D4D" w:rsidRPr="00A1080E">
        <w:rPr>
          <w:rFonts w:asciiTheme="majorHAnsi" w:hAnsiTheme="majorHAnsi"/>
          <w:i/>
        </w:rPr>
        <w:t>However, the following</w:t>
      </w:r>
      <w:r w:rsidRPr="00A1080E">
        <w:rPr>
          <w:rFonts w:asciiTheme="majorHAnsi" w:hAnsiTheme="majorHAnsi"/>
          <w:i/>
        </w:rPr>
        <w:t xml:space="preserve"> information is presented as an example of one model with takeaways that may help countries make decisions about the necessity</w:t>
      </w:r>
      <w:r w:rsidR="00392AEB" w:rsidRPr="00A1080E">
        <w:rPr>
          <w:rFonts w:asciiTheme="majorHAnsi" w:hAnsiTheme="majorHAnsi"/>
          <w:i/>
        </w:rPr>
        <w:t xml:space="preserve"> and content </w:t>
      </w:r>
      <w:r w:rsidRPr="00A1080E">
        <w:rPr>
          <w:rFonts w:asciiTheme="majorHAnsi" w:hAnsiTheme="majorHAnsi"/>
          <w:i/>
        </w:rPr>
        <w:t>of data use agreements.</w:t>
      </w:r>
    </w:p>
    <w:p w14:paraId="6ADE594E" w14:textId="77777777" w:rsidR="00113041" w:rsidRDefault="00113041" w:rsidP="00864145">
      <w:pPr>
        <w:rPr>
          <w:rFonts w:asciiTheme="majorHAnsi" w:hAnsiTheme="majorHAnsi"/>
        </w:rPr>
      </w:pPr>
    </w:p>
    <w:p w14:paraId="398EF935" w14:textId="3CF2236C" w:rsidR="002F2526" w:rsidRDefault="002F2526" w:rsidP="002F2526">
      <w:pPr>
        <w:rPr>
          <w:rFonts w:asciiTheme="majorHAnsi" w:hAnsiTheme="majorHAnsi"/>
          <w:b/>
        </w:rPr>
      </w:pPr>
      <w:r>
        <w:rPr>
          <w:rFonts w:asciiTheme="majorHAnsi" w:hAnsiTheme="majorHAnsi"/>
          <w:b/>
        </w:rPr>
        <w:t>Key Best Practices</w:t>
      </w:r>
      <w:r w:rsidR="002933D2">
        <w:rPr>
          <w:rFonts w:asciiTheme="majorHAnsi" w:hAnsiTheme="majorHAnsi"/>
          <w:b/>
        </w:rPr>
        <w:t xml:space="preserve"> and Lessons Learned</w:t>
      </w:r>
      <w:r>
        <w:rPr>
          <w:rFonts w:asciiTheme="majorHAnsi" w:hAnsiTheme="majorHAnsi"/>
          <w:b/>
        </w:rPr>
        <w:t>:</w:t>
      </w:r>
    </w:p>
    <w:p w14:paraId="3CFB2F62" w14:textId="0FFA2F87" w:rsidR="002F2526" w:rsidRPr="00246F60" w:rsidRDefault="0044206D" w:rsidP="002F2526">
      <w:pPr>
        <w:pStyle w:val="ListParagraph"/>
        <w:numPr>
          <w:ilvl w:val="0"/>
          <w:numId w:val="13"/>
        </w:numPr>
        <w:rPr>
          <w:rFonts w:asciiTheme="majorHAnsi" w:hAnsiTheme="majorHAnsi"/>
        </w:rPr>
      </w:pPr>
      <w:r>
        <w:rPr>
          <w:rFonts w:asciiTheme="majorHAnsi" w:hAnsiTheme="majorHAnsi"/>
          <w:b/>
        </w:rPr>
        <w:t xml:space="preserve">A </w:t>
      </w:r>
      <w:r w:rsidR="00AE7BDE">
        <w:rPr>
          <w:rFonts w:asciiTheme="majorHAnsi" w:hAnsiTheme="majorHAnsi"/>
          <w:b/>
        </w:rPr>
        <w:t>common</w:t>
      </w:r>
      <w:r>
        <w:rPr>
          <w:rFonts w:asciiTheme="majorHAnsi" w:hAnsiTheme="majorHAnsi"/>
          <w:b/>
        </w:rPr>
        <w:t xml:space="preserve">, trust/principle-based data use agreement allows for scalability and </w:t>
      </w:r>
      <w:r w:rsidR="00471475">
        <w:rPr>
          <w:rFonts w:asciiTheme="majorHAnsi" w:hAnsiTheme="majorHAnsi"/>
          <w:b/>
        </w:rPr>
        <w:t>can eliminate</w:t>
      </w:r>
      <w:r>
        <w:rPr>
          <w:rFonts w:asciiTheme="majorHAnsi" w:hAnsiTheme="majorHAnsi"/>
          <w:b/>
        </w:rPr>
        <w:t xml:space="preserve"> the need for point-to-point agreements.</w:t>
      </w:r>
    </w:p>
    <w:p w14:paraId="004AB4D8" w14:textId="583FDAFC" w:rsidR="00246F60" w:rsidRPr="002933D2" w:rsidRDefault="00246F60" w:rsidP="002F2526">
      <w:pPr>
        <w:pStyle w:val="ListParagraph"/>
        <w:numPr>
          <w:ilvl w:val="0"/>
          <w:numId w:val="13"/>
        </w:numPr>
        <w:rPr>
          <w:rFonts w:asciiTheme="majorHAnsi" w:hAnsiTheme="majorHAnsi"/>
        </w:rPr>
      </w:pPr>
      <w:r>
        <w:rPr>
          <w:rFonts w:asciiTheme="majorHAnsi" w:hAnsiTheme="majorHAnsi"/>
          <w:b/>
        </w:rPr>
        <w:t>Initial experience with an early data use agreement in the U.S. led to a more simplified and modular approach to a data use agreement.</w:t>
      </w:r>
    </w:p>
    <w:p w14:paraId="360A1C72" w14:textId="0BFE0CFC" w:rsidR="002933D2" w:rsidRPr="0086689E" w:rsidRDefault="002933D2" w:rsidP="002F2526">
      <w:pPr>
        <w:pStyle w:val="ListParagraph"/>
        <w:numPr>
          <w:ilvl w:val="0"/>
          <w:numId w:val="13"/>
        </w:numPr>
        <w:rPr>
          <w:rFonts w:asciiTheme="majorHAnsi" w:hAnsiTheme="majorHAnsi"/>
        </w:rPr>
      </w:pPr>
      <w:r>
        <w:rPr>
          <w:rFonts w:asciiTheme="majorHAnsi" w:hAnsiTheme="majorHAnsi"/>
          <w:b/>
        </w:rPr>
        <w:t xml:space="preserve">A </w:t>
      </w:r>
      <w:r w:rsidR="00AE7BDE">
        <w:rPr>
          <w:rFonts w:asciiTheme="majorHAnsi" w:hAnsiTheme="majorHAnsi"/>
          <w:b/>
        </w:rPr>
        <w:t>common</w:t>
      </w:r>
      <w:r>
        <w:rPr>
          <w:rFonts w:asciiTheme="majorHAnsi" w:hAnsiTheme="majorHAnsi"/>
          <w:b/>
        </w:rPr>
        <w:t xml:space="preserve"> data use agreement may not be needed for aggregate level data exchange because of reduced risk and concerns about sharing of individual-level data.</w:t>
      </w:r>
    </w:p>
    <w:p w14:paraId="65765EDA" w14:textId="77777777" w:rsidR="002F2526" w:rsidRDefault="002F2526" w:rsidP="002F2526">
      <w:pPr>
        <w:rPr>
          <w:rFonts w:asciiTheme="majorHAnsi" w:hAnsiTheme="majorHAnsi"/>
        </w:rPr>
      </w:pPr>
    </w:p>
    <w:p w14:paraId="0921AF16" w14:textId="5F0EB8A8" w:rsidR="002F2526" w:rsidRPr="0086689E" w:rsidRDefault="002F2526" w:rsidP="002F2526">
      <w:pPr>
        <w:rPr>
          <w:rFonts w:asciiTheme="majorHAnsi" w:hAnsiTheme="majorHAnsi"/>
          <w:b/>
        </w:rPr>
      </w:pPr>
      <w:r>
        <w:rPr>
          <w:rFonts w:asciiTheme="majorHAnsi" w:hAnsiTheme="majorHAnsi"/>
          <w:b/>
        </w:rPr>
        <w:t>Identified Challenges</w:t>
      </w:r>
      <w:r w:rsidR="003703B1">
        <w:rPr>
          <w:rFonts w:asciiTheme="majorHAnsi" w:hAnsiTheme="majorHAnsi"/>
          <w:b/>
        </w:rPr>
        <w:t xml:space="preserve"> and Opportunities</w:t>
      </w:r>
      <w:r>
        <w:rPr>
          <w:rFonts w:asciiTheme="majorHAnsi" w:hAnsiTheme="majorHAnsi"/>
          <w:b/>
        </w:rPr>
        <w:t>:</w:t>
      </w:r>
    </w:p>
    <w:p w14:paraId="6F14F294" w14:textId="7C6AD10D" w:rsidR="00113041" w:rsidRPr="00306E28" w:rsidRDefault="0044206D" w:rsidP="0044206D">
      <w:pPr>
        <w:pStyle w:val="ListParagraph"/>
        <w:numPr>
          <w:ilvl w:val="0"/>
          <w:numId w:val="14"/>
        </w:numPr>
        <w:rPr>
          <w:rFonts w:asciiTheme="majorHAnsi" w:hAnsiTheme="majorHAnsi"/>
        </w:rPr>
      </w:pPr>
      <w:r>
        <w:rPr>
          <w:rFonts w:asciiTheme="majorHAnsi" w:hAnsiTheme="majorHAnsi"/>
          <w:b/>
        </w:rPr>
        <w:t xml:space="preserve">Multi-party trust agreements may require </w:t>
      </w:r>
      <w:r w:rsidR="00471475">
        <w:rPr>
          <w:rFonts w:asciiTheme="majorHAnsi" w:hAnsiTheme="majorHAnsi"/>
          <w:b/>
        </w:rPr>
        <w:t xml:space="preserve">significant </w:t>
      </w:r>
      <w:r>
        <w:rPr>
          <w:rFonts w:asciiTheme="majorHAnsi" w:hAnsiTheme="majorHAnsi"/>
          <w:b/>
        </w:rPr>
        <w:t>time to develop depending on the goals</w:t>
      </w:r>
      <w:r w:rsidR="00D22A34">
        <w:rPr>
          <w:rFonts w:asciiTheme="majorHAnsi" w:hAnsiTheme="majorHAnsi"/>
          <w:b/>
        </w:rPr>
        <w:t xml:space="preserve"> and clearance processes</w:t>
      </w:r>
      <w:r>
        <w:rPr>
          <w:rFonts w:asciiTheme="majorHAnsi" w:hAnsiTheme="majorHAnsi"/>
          <w:b/>
        </w:rPr>
        <w:t xml:space="preserve"> of the different parties involved. However, the up-front investment</w:t>
      </w:r>
      <w:r w:rsidR="00514BD2">
        <w:rPr>
          <w:rFonts w:asciiTheme="majorHAnsi" w:hAnsiTheme="majorHAnsi"/>
          <w:b/>
        </w:rPr>
        <w:t xml:space="preserve"> can</w:t>
      </w:r>
      <w:r>
        <w:rPr>
          <w:rFonts w:asciiTheme="majorHAnsi" w:hAnsiTheme="majorHAnsi"/>
          <w:b/>
        </w:rPr>
        <w:t xml:space="preserve"> establish clear rules of the road and expectations for participants in the long</w:t>
      </w:r>
      <w:r w:rsidR="00514BD2">
        <w:rPr>
          <w:rFonts w:asciiTheme="majorHAnsi" w:hAnsiTheme="majorHAnsi"/>
          <w:b/>
        </w:rPr>
        <w:t>-</w:t>
      </w:r>
      <w:r w:rsidR="0032351A">
        <w:rPr>
          <w:rFonts w:asciiTheme="majorHAnsi" w:hAnsiTheme="majorHAnsi"/>
          <w:b/>
        </w:rPr>
        <w:t xml:space="preserve">run, as well as </w:t>
      </w:r>
      <w:r w:rsidR="00CE6133">
        <w:rPr>
          <w:rFonts w:asciiTheme="majorHAnsi" w:hAnsiTheme="majorHAnsi"/>
          <w:b/>
        </w:rPr>
        <w:t xml:space="preserve">provide a foundation for extension to </w:t>
      </w:r>
      <w:r w:rsidR="009C6DD3">
        <w:rPr>
          <w:rFonts w:asciiTheme="majorHAnsi" w:hAnsiTheme="majorHAnsi"/>
          <w:b/>
        </w:rPr>
        <w:t>other</w:t>
      </w:r>
      <w:r w:rsidR="00CE6133">
        <w:rPr>
          <w:rFonts w:asciiTheme="majorHAnsi" w:hAnsiTheme="majorHAnsi"/>
          <w:b/>
        </w:rPr>
        <w:t xml:space="preserve"> use cases in the future.</w:t>
      </w:r>
    </w:p>
    <w:p w14:paraId="49B65D6E" w14:textId="787B8A1F" w:rsidR="00306E28" w:rsidRPr="00346093" w:rsidRDefault="00306E28" w:rsidP="0044206D">
      <w:pPr>
        <w:pStyle w:val="ListParagraph"/>
        <w:numPr>
          <w:ilvl w:val="0"/>
          <w:numId w:val="14"/>
        </w:numPr>
        <w:rPr>
          <w:rFonts w:asciiTheme="majorHAnsi" w:hAnsiTheme="majorHAnsi"/>
        </w:rPr>
      </w:pPr>
      <w:r>
        <w:rPr>
          <w:rFonts w:asciiTheme="majorHAnsi" w:hAnsiTheme="majorHAnsi"/>
          <w:b/>
        </w:rPr>
        <w:t xml:space="preserve">If there is general nationwide legal uniformity or a single effective legal jurisdiction, a data use agreement can be used to address </w:t>
      </w:r>
      <w:r w:rsidR="001F5B73">
        <w:rPr>
          <w:rFonts w:asciiTheme="majorHAnsi" w:hAnsiTheme="majorHAnsi"/>
          <w:b/>
        </w:rPr>
        <w:t>some of the legal requirements for exchange.</w:t>
      </w:r>
    </w:p>
    <w:p w14:paraId="20EEEB30" w14:textId="2C44E934" w:rsidR="00346093" w:rsidRPr="009568A4" w:rsidRDefault="007A5064" w:rsidP="0044206D">
      <w:pPr>
        <w:pStyle w:val="ListParagraph"/>
        <w:numPr>
          <w:ilvl w:val="0"/>
          <w:numId w:val="14"/>
        </w:numPr>
        <w:rPr>
          <w:rFonts w:asciiTheme="majorHAnsi" w:hAnsiTheme="majorHAnsi"/>
        </w:rPr>
      </w:pPr>
      <w:r>
        <w:rPr>
          <w:rFonts w:asciiTheme="majorHAnsi" w:hAnsiTheme="majorHAnsi"/>
          <w:b/>
        </w:rPr>
        <w:t>A complex health system</w:t>
      </w:r>
      <w:r w:rsidR="00346093">
        <w:rPr>
          <w:rFonts w:asciiTheme="majorHAnsi" w:hAnsiTheme="majorHAnsi"/>
          <w:b/>
        </w:rPr>
        <w:t xml:space="preserve"> with a strong private sector such as the U.S. may </w:t>
      </w:r>
      <w:r>
        <w:rPr>
          <w:rFonts w:asciiTheme="majorHAnsi" w:hAnsiTheme="majorHAnsi"/>
          <w:b/>
        </w:rPr>
        <w:t>have</w:t>
      </w:r>
      <w:r w:rsidR="00346093">
        <w:rPr>
          <w:rFonts w:asciiTheme="majorHAnsi" w:hAnsiTheme="majorHAnsi"/>
          <w:b/>
        </w:rPr>
        <w:t xml:space="preserve"> a number of networks, each with its own data use agreement, policies and procedures.</w:t>
      </w:r>
      <w:r w:rsidR="002B439C">
        <w:rPr>
          <w:rFonts w:asciiTheme="majorHAnsi" w:hAnsiTheme="majorHAnsi"/>
          <w:b/>
        </w:rPr>
        <w:t xml:space="preserve"> This can present challenges for nationwide interoperability</w:t>
      </w:r>
      <w:r w:rsidR="00EA6FC2">
        <w:rPr>
          <w:rFonts w:asciiTheme="majorHAnsi" w:hAnsiTheme="majorHAnsi"/>
          <w:b/>
        </w:rPr>
        <w:t xml:space="preserve">, however the Carequality® initiative in the U.S. is connecting networks and provides one model to address this challenge. </w:t>
      </w:r>
    </w:p>
    <w:p w14:paraId="61381F2C" w14:textId="77777777" w:rsidR="009568A4" w:rsidRPr="009568A4" w:rsidRDefault="009568A4" w:rsidP="00864145">
      <w:pPr>
        <w:rPr>
          <w:rFonts w:asciiTheme="majorHAnsi" w:hAnsiTheme="majorHAnsi"/>
        </w:rPr>
      </w:pPr>
    </w:p>
    <w:p w14:paraId="7718BA74" w14:textId="3B113D4A" w:rsidR="00864145" w:rsidRDefault="002B63D0" w:rsidP="00864145">
      <w:pPr>
        <w:rPr>
          <w:rFonts w:asciiTheme="majorHAnsi" w:hAnsiTheme="majorHAnsi"/>
          <w:u w:val="single"/>
        </w:rPr>
      </w:pPr>
      <w:r>
        <w:rPr>
          <w:rFonts w:asciiTheme="majorHAnsi" w:hAnsiTheme="majorHAnsi"/>
          <w:u w:val="single"/>
        </w:rPr>
        <w:t>The eHealth Exchange</w:t>
      </w:r>
      <w:r w:rsidR="002775DC" w:rsidRPr="00A72796">
        <w:rPr>
          <w:rFonts w:asciiTheme="majorHAnsi" w:hAnsiTheme="majorHAnsi"/>
          <w:u w:val="single"/>
          <w:vertAlign w:val="superscript"/>
        </w:rPr>
        <w:t>TM</w:t>
      </w:r>
      <w:r>
        <w:rPr>
          <w:rFonts w:asciiTheme="majorHAnsi" w:hAnsiTheme="majorHAnsi"/>
          <w:u w:val="single"/>
        </w:rPr>
        <w:t xml:space="preserve"> “</w:t>
      </w:r>
      <w:r w:rsidR="00864145" w:rsidRPr="002B63D0">
        <w:rPr>
          <w:rFonts w:asciiTheme="majorHAnsi" w:hAnsiTheme="majorHAnsi"/>
          <w:u w:val="single"/>
        </w:rPr>
        <w:t>DURSA</w:t>
      </w:r>
      <w:r>
        <w:rPr>
          <w:rFonts w:asciiTheme="majorHAnsi" w:hAnsiTheme="majorHAnsi"/>
          <w:u w:val="single"/>
        </w:rPr>
        <w:t>”</w:t>
      </w:r>
    </w:p>
    <w:p w14:paraId="643835B0" w14:textId="77777777" w:rsidR="002B63D0" w:rsidRDefault="002B63D0" w:rsidP="00864145">
      <w:pPr>
        <w:rPr>
          <w:rFonts w:asciiTheme="majorHAnsi" w:hAnsiTheme="majorHAnsi"/>
          <w:u w:val="single"/>
        </w:rPr>
      </w:pPr>
    </w:p>
    <w:p w14:paraId="5B707D66" w14:textId="565BC2E8" w:rsidR="002B63D0" w:rsidRDefault="00DA34D4" w:rsidP="00864145">
      <w:pPr>
        <w:rPr>
          <w:rFonts w:asciiTheme="majorHAnsi" w:hAnsiTheme="majorHAnsi"/>
        </w:rPr>
      </w:pPr>
      <w:r w:rsidRPr="00DA34D4">
        <w:rPr>
          <w:rFonts w:asciiTheme="majorHAnsi" w:hAnsiTheme="majorHAnsi"/>
        </w:rPr>
        <w:t xml:space="preserve">In </w:t>
      </w:r>
      <w:r w:rsidR="00523FC4">
        <w:rPr>
          <w:rFonts w:asciiTheme="majorHAnsi" w:hAnsiTheme="majorHAnsi"/>
        </w:rPr>
        <w:t xml:space="preserve">late 2008, the U.S. was in the early stages of establishing national </w:t>
      </w:r>
      <w:r w:rsidR="000D7A72">
        <w:rPr>
          <w:rFonts w:asciiTheme="majorHAnsi" w:hAnsiTheme="majorHAnsi"/>
        </w:rPr>
        <w:t xml:space="preserve">health information sharing and expanding the </w:t>
      </w:r>
      <w:r w:rsidR="00127A87">
        <w:rPr>
          <w:rFonts w:asciiTheme="majorHAnsi" w:hAnsiTheme="majorHAnsi"/>
        </w:rPr>
        <w:t>adoption</w:t>
      </w:r>
      <w:r w:rsidR="000D7A72">
        <w:rPr>
          <w:rFonts w:asciiTheme="majorHAnsi" w:hAnsiTheme="majorHAnsi"/>
        </w:rPr>
        <w:t xml:space="preserve"> of electronic health records. The U.S. system is characterized by a strong private health care sector and state autonomy to establish laws and regulations. There are a fair number of regional and state health information exchanges as well as private health systems with their own HIS.</w:t>
      </w:r>
    </w:p>
    <w:p w14:paraId="67AAB060" w14:textId="77777777" w:rsidR="000D7A72" w:rsidRDefault="000D7A72" w:rsidP="00864145">
      <w:pPr>
        <w:rPr>
          <w:rFonts w:asciiTheme="majorHAnsi" w:hAnsiTheme="majorHAnsi"/>
        </w:rPr>
      </w:pPr>
    </w:p>
    <w:p w14:paraId="384815E3" w14:textId="1DAAE447" w:rsidR="000D7A72" w:rsidRDefault="000D7A72" w:rsidP="00864145">
      <w:pPr>
        <w:rPr>
          <w:rFonts w:asciiTheme="majorHAnsi" w:hAnsiTheme="majorHAnsi"/>
        </w:rPr>
      </w:pPr>
      <w:r>
        <w:rPr>
          <w:rFonts w:asciiTheme="majorHAnsi" w:hAnsiTheme="majorHAnsi"/>
        </w:rPr>
        <w:t xml:space="preserve">The </w:t>
      </w:r>
      <w:hyperlink r:id="rId38" w:history="1">
        <w:r w:rsidRPr="000D7A72">
          <w:rPr>
            <w:rStyle w:val="Hyperlink"/>
            <w:rFonts w:asciiTheme="majorHAnsi" w:hAnsiTheme="majorHAnsi"/>
          </w:rPr>
          <w:t>eHealth Exchange</w:t>
        </w:r>
      </w:hyperlink>
      <w:r w:rsidR="002775DC" w:rsidRPr="002775DC">
        <w:rPr>
          <w:rFonts w:asciiTheme="majorHAnsi" w:hAnsiTheme="majorHAnsi"/>
          <w:vertAlign w:val="superscript"/>
        </w:rPr>
        <w:t>TM</w:t>
      </w:r>
      <w:r>
        <w:rPr>
          <w:rFonts w:asciiTheme="majorHAnsi" w:hAnsiTheme="majorHAnsi"/>
        </w:rPr>
        <w:t xml:space="preserve"> formed during this time as a public-private health exchange network with a vision to use a common set of standards, legal agreement, and governance. Today, the eHealth Exchange</w:t>
      </w:r>
      <w:r w:rsidR="002775DC" w:rsidRPr="002775DC">
        <w:rPr>
          <w:rFonts w:asciiTheme="majorHAnsi" w:hAnsiTheme="majorHAnsi"/>
          <w:vertAlign w:val="superscript"/>
        </w:rPr>
        <w:t>TM</w:t>
      </w:r>
      <w:r>
        <w:rPr>
          <w:rFonts w:asciiTheme="majorHAnsi" w:hAnsiTheme="majorHAnsi"/>
        </w:rPr>
        <w:t xml:space="preserve"> is the largest HIE network in the U.S.</w:t>
      </w:r>
    </w:p>
    <w:p w14:paraId="77904891" w14:textId="77777777" w:rsidR="000D7A72" w:rsidRDefault="000D7A72" w:rsidP="00864145">
      <w:pPr>
        <w:rPr>
          <w:rFonts w:asciiTheme="majorHAnsi" w:hAnsiTheme="majorHAnsi"/>
        </w:rPr>
      </w:pPr>
    </w:p>
    <w:p w14:paraId="382CC4C7" w14:textId="788E1A38" w:rsidR="000D7A72" w:rsidRDefault="000D7A72" w:rsidP="00864145">
      <w:pPr>
        <w:rPr>
          <w:rFonts w:asciiTheme="majorHAnsi" w:hAnsiTheme="majorHAnsi"/>
        </w:rPr>
      </w:pPr>
      <w:r>
        <w:rPr>
          <w:rFonts w:asciiTheme="majorHAnsi" w:hAnsiTheme="majorHAnsi"/>
        </w:rPr>
        <w:t>The original organizations involved in the creation of the eHealth Exchange</w:t>
      </w:r>
      <w:r w:rsidR="002775DC" w:rsidRPr="002775DC">
        <w:rPr>
          <w:rFonts w:asciiTheme="majorHAnsi" w:hAnsiTheme="majorHAnsi"/>
          <w:vertAlign w:val="superscript"/>
        </w:rPr>
        <w:t>TM</w:t>
      </w:r>
      <w:r>
        <w:rPr>
          <w:rFonts w:asciiTheme="majorHAnsi" w:hAnsiTheme="majorHAnsi"/>
        </w:rPr>
        <w:t xml:space="preserve"> were </w:t>
      </w:r>
      <w:r w:rsidR="00EA6FC2">
        <w:rPr>
          <w:rFonts w:asciiTheme="majorHAnsi" w:hAnsiTheme="majorHAnsi"/>
        </w:rPr>
        <w:t xml:space="preserve">either private sector organizations </w:t>
      </w:r>
      <w:r>
        <w:rPr>
          <w:rFonts w:asciiTheme="majorHAnsi" w:hAnsiTheme="majorHAnsi"/>
        </w:rPr>
        <w:t xml:space="preserve">under grants or contracts which obligated them to establish an agreement for data sharing </w:t>
      </w:r>
      <w:r w:rsidR="001902EE">
        <w:rPr>
          <w:rFonts w:asciiTheme="majorHAnsi" w:hAnsiTheme="majorHAnsi"/>
        </w:rPr>
        <w:t xml:space="preserve">within a determined time period, known as the </w:t>
      </w:r>
      <w:hyperlink r:id="rId39" w:history="1">
        <w:r w:rsidR="001902EE" w:rsidRPr="00CC30C4">
          <w:rPr>
            <w:rStyle w:val="Hyperlink"/>
            <w:rFonts w:asciiTheme="majorHAnsi" w:hAnsiTheme="majorHAnsi"/>
          </w:rPr>
          <w:t>Data Use and Reciprocal Support Agreement</w:t>
        </w:r>
      </w:hyperlink>
      <w:r w:rsidR="001902EE">
        <w:rPr>
          <w:rFonts w:asciiTheme="majorHAnsi" w:hAnsiTheme="majorHAnsi"/>
        </w:rPr>
        <w:t xml:space="preserve"> or DURSA</w:t>
      </w:r>
      <w:r w:rsidR="00EA6FC2">
        <w:rPr>
          <w:rFonts w:asciiTheme="majorHAnsi" w:hAnsiTheme="majorHAnsi"/>
        </w:rPr>
        <w:t>, or governmental agencies</w:t>
      </w:r>
      <w:r w:rsidR="001902EE">
        <w:rPr>
          <w:rFonts w:asciiTheme="majorHAnsi" w:hAnsiTheme="majorHAnsi"/>
        </w:rPr>
        <w:t>.</w:t>
      </w:r>
      <w:r>
        <w:rPr>
          <w:rFonts w:asciiTheme="majorHAnsi" w:hAnsiTheme="majorHAnsi"/>
        </w:rPr>
        <w:t xml:space="preserve"> Th</w:t>
      </w:r>
      <w:r w:rsidR="00EA6FC2">
        <w:rPr>
          <w:rFonts w:asciiTheme="majorHAnsi" w:hAnsiTheme="majorHAnsi"/>
        </w:rPr>
        <w:t>e collective group of private sector organizations and federal agencies worked toward a common goal and enabled</w:t>
      </w:r>
      <w:r>
        <w:rPr>
          <w:rFonts w:asciiTheme="majorHAnsi" w:hAnsiTheme="majorHAnsi"/>
        </w:rPr>
        <w:t xml:space="preserve"> the group to come to consensus quickly and efficiently through a process driven by the legal counsels</w:t>
      </w:r>
      <w:r w:rsidR="00EA6FC2">
        <w:rPr>
          <w:rFonts w:asciiTheme="majorHAnsi" w:hAnsiTheme="majorHAnsi"/>
        </w:rPr>
        <w:t xml:space="preserve"> and business leads</w:t>
      </w:r>
      <w:r>
        <w:rPr>
          <w:rFonts w:asciiTheme="majorHAnsi" w:hAnsiTheme="majorHAnsi"/>
        </w:rPr>
        <w:t xml:space="preserve"> of the organizations. Despite the streamlined process, the participants debated over the use cases and requirements of the agreement and the near-final </w:t>
      </w:r>
      <w:r w:rsidR="00CB5FA0">
        <w:rPr>
          <w:rFonts w:asciiTheme="majorHAnsi" w:hAnsiTheme="majorHAnsi"/>
        </w:rPr>
        <w:t>DURSA</w:t>
      </w:r>
      <w:r>
        <w:rPr>
          <w:rFonts w:asciiTheme="majorHAnsi" w:hAnsiTheme="majorHAnsi"/>
        </w:rPr>
        <w:t xml:space="preserve"> went through each federal agency’s time</w:t>
      </w:r>
      <w:r w:rsidR="0093429E">
        <w:rPr>
          <w:rFonts w:asciiTheme="majorHAnsi" w:hAnsiTheme="majorHAnsi"/>
        </w:rPr>
        <w:t>-intensive</w:t>
      </w:r>
      <w:r>
        <w:rPr>
          <w:rFonts w:asciiTheme="majorHAnsi" w:hAnsiTheme="majorHAnsi"/>
        </w:rPr>
        <w:t xml:space="preserve"> clearance processes. The developers </w:t>
      </w:r>
      <w:r w:rsidR="00202245">
        <w:rPr>
          <w:rFonts w:asciiTheme="majorHAnsi" w:hAnsiTheme="majorHAnsi"/>
        </w:rPr>
        <w:t xml:space="preserve">also </w:t>
      </w:r>
      <w:r w:rsidR="005674A6">
        <w:rPr>
          <w:rFonts w:asciiTheme="majorHAnsi" w:hAnsiTheme="majorHAnsi"/>
        </w:rPr>
        <w:t>deliberated</w:t>
      </w:r>
      <w:r>
        <w:rPr>
          <w:rFonts w:asciiTheme="majorHAnsi" w:hAnsiTheme="majorHAnsi"/>
        </w:rPr>
        <w:t xml:space="preserve"> issues such as the development of test data and the breach notification process.</w:t>
      </w:r>
    </w:p>
    <w:p w14:paraId="14056765" w14:textId="77777777" w:rsidR="001902EE" w:rsidRDefault="001902EE" w:rsidP="00864145">
      <w:pPr>
        <w:rPr>
          <w:rFonts w:asciiTheme="majorHAnsi" w:hAnsiTheme="majorHAnsi"/>
        </w:rPr>
      </w:pPr>
    </w:p>
    <w:p w14:paraId="548116C6" w14:textId="77777777" w:rsidR="003271E3" w:rsidRDefault="001902EE" w:rsidP="00864145">
      <w:pPr>
        <w:rPr>
          <w:rFonts w:asciiTheme="majorHAnsi" w:hAnsiTheme="majorHAnsi"/>
        </w:rPr>
      </w:pPr>
      <w:r>
        <w:rPr>
          <w:rFonts w:asciiTheme="majorHAnsi" w:hAnsiTheme="majorHAnsi"/>
        </w:rPr>
        <w:t xml:space="preserve">The </w:t>
      </w:r>
      <w:r w:rsidR="00CC30C4">
        <w:rPr>
          <w:rFonts w:asciiTheme="majorHAnsi" w:hAnsiTheme="majorHAnsi"/>
        </w:rPr>
        <w:t xml:space="preserve">first DURSA was published in </w:t>
      </w:r>
      <w:r w:rsidR="006D7820">
        <w:rPr>
          <w:rFonts w:asciiTheme="majorHAnsi" w:hAnsiTheme="majorHAnsi"/>
        </w:rPr>
        <w:t xml:space="preserve">November 2009 and the DURSA has been revised twice since its initial publication. </w:t>
      </w:r>
    </w:p>
    <w:p w14:paraId="5C1AD568" w14:textId="77777777" w:rsidR="003271E3" w:rsidRDefault="003271E3" w:rsidP="00864145">
      <w:pPr>
        <w:rPr>
          <w:rFonts w:asciiTheme="majorHAnsi" w:hAnsiTheme="majorHAnsi"/>
        </w:rPr>
      </w:pPr>
    </w:p>
    <w:p w14:paraId="2E5C50C2" w14:textId="77539227" w:rsidR="001902EE" w:rsidRDefault="006D7820" w:rsidP="00864145">
      <w:pPr>
        <w:rPr>
          <w:rFonts w:asciiTheme="majorHAnsi" w:hAnsiTheme="majorHAnsi"/>
        </w:rPr>
      </w:pPr>
      <w:r>
        <w:rPr>
          <w:rFonts w:asciiTheme="majorHAnsi" w:hAnsiTheme="majorHAnsi"/>
        </w:rPr>
        <w:t xml:space="preserve">The DURSA is based on agreed-upon </w:t>
      </w:r>
      <w:hyperlink r:id="rId40" w:history="1">
        <w:r w:rsidRPr="006D7820">
          <w:rPr>
            <w:rStyle w:val="Hyperlink"/>
            <w:rFonts w:asciiTheme="majorHAnsi" w:hAnsiTheme="majorHAnsi"/>
          </w:rPr>
          <w:t>principles of trust</w:t>
        </w:r>
      </w:hyperlink>
      <w:r>
        <w:rPr>
          <w:rFonts w:asciiTheme="majorHAnsi" w:hAnsiTheme="majorHAnsi"/>
        </w:rPr>
        <w:t xml:space="preserve"> that establish the framework for the agreement:</w:t>
      </w:r>
    </w:p>
    <w:p w14:paraId="6D3F0F6C" w14:textId="72BB2A4D" w:rsidR="006D7820" w:rsidRDefault="006D7820" w:rsidP="006D7820">
      <w:pPr>
        <w:pStyle w:val="ListParagraph"/>
        <w:numPr>
          <w:ilvl w:val="0"/>
          <w:numId w:val="19"/>
        </w:numPr>
        <w:rPr>
          <w:rFonts w:asciiTheme="majorHAnsi" w:hAnsiTheme="majorHAnsi"/>
        </w:rPr>
      </w:pPr>
      <w:r>
        <w:rPr>
          <w:rFonts w:asciiTheme="majorHAnsi" w:hAnsiTheme="majorHAnsi"/>
        </w:rPr>
        <w:t>Shared rules of the road and shared governance</w:t>
      </w:r>
    </w:p>
    <w:p w14:paraId="57946388" w14:textId="2DC0AAEE" w:rsidR="006D7820" w:rsidRDefault="006D7820" w:rsidP="006D7820">
      <w:pPr>
        <w:pStyle w:val="ListParagraph"/>
        <w:numPr>
          <w:ilvl w:val="0"/>
          <w:numId w:val="19"/>
        </w:numPr>
        <w:rPr>
          <w:rFonts w:asciiTheme="majorHAnsi" w:hAnsiTheme="majorHAnsi"/>
        </w:rPr>
      </w:pPr>
      <w:r>
        <w:rPr>
          <w:rFonts w:asciiTheme="majorHAnsi" w:hAnsiTheme="majorHAnsi"/>
        </w:rPr>
        <w:t>Representative governance</w:t>
      </w:r>
    </w:p>
    <w:p w14:paraId="1152BA45" w14:textId="0A9BF2FC" w:rsidR="006D7820" w:rsidRDefault="006D7820" w:rsidP="006D7820">
      <w:pPr>
        <w:pStyle w:val="ListParagraph"/>
        <w:numPr>
          <w:ilvl w:val="0"/>
          <w:numId w:val="19"/>
        </w:numPr>
        <w:rPr>
          <w:rFonts w:asciiTheme="majorHAnsi" w:hAnsiTheme="majorHAnsi"/>
        </w:rPr>
      </w:pPr>
      <w:r>
        <w:rPr>
          <w:rFonts w:asciiTheme="majorHAnsi" w:hAnsiTheme="majorHAnsi"/>
        </w:rPr>
        <w:t>Participants in production</w:t>
      </w:r>
    </w:p>
    <w:p w14:paraId="536A3956" w14:textId="2E8C9DF9" w:rsidR="006D7820" w:rsidRDefault="006D7820" w:rsidP="006D7820">
      <w:pPr>
        <w:pStyle w:val="ListParagraph"/>
        <w:numPr>
          <w:ilvl w:val="0"/>
          <w:numId w:val="19"/>
        </w:numPr>
        <w:rPr>
          <w:rFonts w:asciiTheme="majorHAnsi" w:hAnsiTheme="majorHAnsi"/>
        </w:rPr>
      </w:pPr>
      <w:r>
        <w:rPr>
          <w:rFonts w:asciiTheme="majorHAnsi" w:hAnsiTheme="majorHAnsi"/>
        </w:rPr>
        <w:t>Multiple exchange methods and profiles</w:t>
      </w:r>
      <w:r w:rsidR="00B35A50">
        <w:rPr>
          <w:rFonts w:asciiTheme="majorHAnsi" w:hAnsiTheme="majorHAnsi"/>
        </w:rPr>
        <w:t>*</w:t>
      </w:r>
    </w:p>
    <w:p w14:paraId="390A093F" w14:textId="0A9A5F7B" w:rsidR="006D7820" w:rsidRDefault="006D7820" w:rsidP="006D7820">
      <w:pPr>
        <w:pStyle w:val="ListParagraph"/>
        <w:numPr>
          <w:ilvl w:val="0"/>
          <w:numId w:val="19"/>
        </w:numPr>
        <w:rPr>
          <w:rFonts w:asciiTheme="majorHAnsi" w:hAnsiTheme="majorHAnsi"/>
        </w:rPr>
      </w:pPr>
      <w:r>
        <w:rPr>
          <w:rFonts w:asciiTheme="majorHAnsi" w:hAnsiTheme="majorHAnsi"/>
        </w:rPr>
        <w:t>Privacy and security obligations</w:t>
      </w:r>
    </w:p>
    <w:p w14:paraId="29CF23BA" w14:textId="3F41D907" w:rsidR="006D7820" w:rsidRDefault="006D7820" w:rsidP="006D7820">
      <w:pPr>
        <w:pStyle w:val="ListParagraph"/>
        <w:numPr>
          <w:ilvl w:val="0"/>
          <w:numId w:val="19"/>
        </w:numPr>
        <w:rPr>
          <w:rFonts w:asciiTheme="majorHAnsi" w:hAnsiTheme="majorHAnsi"/>
        </w:rPr>
      </w:pPr>
      <w:r>
        <w:rPr>
          <w:rFonts w:asciiTheme="majorHAnsi" w:hAnsiTheme="majorHAnsi"/>
        </w:rPr>
        <w:t>Identification and authentication</w:t>
      </w:r>
    </w:p>
    <w:p w14:paraId="5F4D9B0B" w14:textId="2B463207" w:rsidR="006D7820" w:rsidRDefault="006D7820" w:rsidP="006D7820">
      <w:pPr>
        <w:pStyle w:val="ListParagraph"/>
        <w:numPr>
          <w:ilvl w:val="0"/>
          <w:numId w:val="19"/>
        </w:numPr>
        <w:rPr>
          <w:rFonts w:asciiTheme="majorHAnsi" w:hAnsiTheme="majorHAnsi"/>
        </w:rPr>
      </w:pPr>
      <w:r>
        <w:rPr>
          <w:rFonts w:asciiTheme="majorHAnsi" w:hAnsiTheme="majorHAnsi"/>
        </w:rPr>
        <w:t>Permitted purposes</w:t>
      </w:r>
    </w:p>
    <w:p w14:paraId="5C2FA7D3" w14:textId="03ACF7A4" w:rsidR="006D7820" w:rsidRDefault="006D7820" w:rsidP="006D7820">
      <w:pPr>
        <w:pStyle w:val="ListParagraph"/>
        <w:numPr>
          <w:ilvl w:val="0"/>
          <w:numId w:val="19"/>
        </w:numPr>
        <w:rPr>
          <w:rFonts w:asciiTheme="majorHAnsi" w:hAnsiTheme="majorHAnsi"/>
        </w:rPr>
      </w:pPr>
      <w:r>
        <w:rPr>
          <w:rFonts w:asciiTheme="majorHAnsi" w:hAnsiTheme="majorHAnsi"/>
        </w:rPr>
        <w:t>Future use of data received through eHealth Exchange</w:t>
      </w:r>
      <w:r w:rsidR="002775DC" w:rsidRPr="002775DC">
        <w:rPr>
          <w:rFonts w:asciiTheme="majorHAnsi" w:hAnsiTheme="majorHAnsi"/>
          <w:vertAlign w:val="superscript"/>
        </w:rPr>
        <w:t>TM</w:t>
      </w:r>
    </w:p>
    <w:p w14:paraId="3EFA115B" w14:textId="63952D73" w:rsidR="006D7820" w:rsidRDefault="006D7820" w:rsidP="006D7820">
      <w:pPr>
        <w:pStyle w:val="ListParagraph"/>
        <w:numPr>
          <w:ilvl w:val="0"/>
          <w:numId w:val="19"/>
        </w:numPr>
        <w:rPr>
          <w:rFonts w:asciiTheme="majorHAnsi" w:hAnsiTheme="majorHAnsi"/>
        </w:rPr>
      </w:pPr>
      <w:r>
        <w:rPr>
          <w:rFonts w:asciiTheme="majorHAnsi" w:hAnsiTheme="majorHAnsi"/>
        </w:rPr>
        <w:t>Local autonomy</w:t>
      </w:r>
      <w:r w:rsidR="00B35A50">
        <w:rPr>
          <w:rFonts w:asciiTheme="majorHAnsi" w:hAnsiTheme="majorHAnsi"/>
        </w:rPr>
        <w:t>*</w:t>
      </w:r>
    </w:p>
    <w:p w14:paraId="31823027" w14:textId="59311BD4" w:rsidR="006D7820" w:rsidRDefault="006D7820" w:rsidP="006D7820">
      <w:pPr>
        <w:pStyle w:val="ListParagraph"/>
        <w:numPr>
          <w:ilvl w:val="0"/>
          <w:numId w:val="19"/>
        </w:numPr>
        <w:rPr>
          <w:rFonts w:asciiTheme="majorHAnsi" w:hAnsiTheme="majorHAnsi"/>
        </w:rPr>
      </w:pPr>
      <w:r>
        <w:rPr>
          <w:rFonts w:asciiTheme="majorHAnsi" w:hAnsiTheme="majorHAnsi"/>
        </w:rPr>
        <w:t>Reciprocal duty to respond</w:t>
      </w:r>
      <w:r w:rsidR="006F1646">
        <w:rPr>
          <w:rFonts w:asciiTheme="majorHAnsi" w:hAnsiTheme="majorHAnsi"/>
        </w:rPr>
        <w:t>*</w:t>
      </w:r>
    </w:p>
    <w:p w14:paraId="6A7E0C80" w14:textId="624D8B72" w:rsidR="006D7820" w:rsidRDefault="006D7820" w:rsidP="006D7820">
      <w:pPr>
        <w:pStyle w:val="ListParagraph"/>
        <w:numPr>
          <w:ilvl w:val="0"/>
          <w:numId w:val="19"/>
        </w:numPr>
        <w:rPr>
          <w:rFonts w:asciiTheme="majorHAnsi" w:hAnsiTheme="majorHAnsi"/>
        </w:rPr>
      </w:pPr>
      <w:r>
        <w:rPr>
          <w:rFonts w:asciiTheme="majorHAnsi" w:hAnsiTheme="majorHAnsi"/>
        </w:rPr>
        <w:t>Responsibilities of party submitting data</w:t>
      </w:r>
    </w:p>
    <w:p w14:paraId="5A8603D3" w14:textId="0B89B2ED" w:rsidR="006D7820" w:rsidRDefault="006D7820" w:rsidP="006D7820">
      <w:pPr>
        <w:pStyle w:val="ListParagraph"/>
        <w:numPr>
          <w:ilvl w:val="0"/>
          <w:numId w:val="19"/>
        </w:numPr>
        <w:rPr>
          <w:rFonts w:asciiTheme="majorHAnsi" w:hAnsiTheme="majorHAnsi"/>
        </w:rPr>
      </w:pPr>
      <w:r>
        <w:rPr>
          <w:rFonts w:asciiTheme="majorHAnsi" w:hAnsiTheme="majorHAnsi"/>
        </w:rPr>
        <w:t>Authorizations</w:t>
      </w:r>
    </w:p>
    <w:p w14:paraId="53EB78E4" w14:textId="27D0A7AA" w:rsidR="006D7820" w:rsidRDefault="006D7820" w:rsidP="006D7820">
      <w:pPr>
        <w:pStyle w:val="ListParagraph"/>
        <w:numPr>
          <w:ilvl w:val="0"/>
          <w:numId w:val="19"/>
        </w:numPr>
        <w:rPr>
          <w:rFonts w:asciiTheme="majorHAnsi" w:hAnsiTheme="majorHAnsi"/>
        </w:rPr>
      </w:pPr>
      <w:r>
        <w:rPr>
          <w:rFonts w:asciiTheme="majorHAnsi" w:hAnsiTheme="majorHAnsi"/>
        </w:rPr>
        <w:t>Participant breach notification</w:t>
      </w:r>
    </w:p>
    <w:p w14:paraId="3CA1D762" w14:textId="157F07AB" w:rsidR="006D7820" w:rsidRDefault="006D7820" w:rsidP="006D7820">
      <w:pPr>
        <w:pStyle w:val="ListParagraph"/>
        <w:numPr>
          <w:ilvl w:val="0"/>
          <w:numId w:val="19"/>
        </w:numPr>
        <w:rPr>
          <w:rFonts w:asciiTheme="majorHAnsi" w:hAnsiTheme="majorHAnsi"/>
        </w:rPr>
      </w:pPr>
      <w:r>
        <w:rPr>
          <w:rFonts w:asciiTheme="majorHAnsi" w:hAnsiTheme="majorHAnsi"/>
        </w:rPr>
        <w:t>Chain of trust</w:t>
      </w:r>
      <w:r w:rsidR="00881314">
        <w:rPr>
          <w:rFonts w:asciiTheme="majorHAnsi" w:hAnsiTheme="majorHAnsi"/>
        </w:rPr>
        <w:t>*</w:t>
      </w:r>
    </w:p>
    <w:p w14:paraId="0ABCEF2A" w14:textId="4C057845" w:rsidR="006D7820" w:rsidRDefault="006D7820" w:rsidP="006D7820">
      <w:pPr>
        <w:pStyle w:val="ListParagraph"/>
        <w:numPr>
          <w:ilvl w:val="0"/>
          <w:numId w:val="19"/>
        </w:numPr>
        <w:rPr>
          <w:rFonts w:asciiTheme="majorHAnsi" w:hAnsiTheme="majorHAnsi"/>
        </w:rPr>
      </w:pPr>
      <w:r>
        <w:rPr>
          <w:rFonts w:asciiTheme="majorHAnsi" w:hAnsiTheme="majorHAnsi"/>
        </w:rPr>
        <w:t>Mandatory non-binding dispute resolution</w:t>
      </w:r>
      <w:r w:rsidR="006F1646">
        <w:rPr>
          <w:rFonts w:asciiTheme="majorHAnsi" w:hAnsiTheme="majorHAnsi"/>
        </w:rPr>
        <w:t>*</w:t>
      </w:r>
    </w:p>
    <w:p w14:paraId="00AD3288" w14:textId="08E3CA42" w:rsidR="006D7820" w:rsidRDefault="006D7820" w:rsidP="006D7820">
      <w:pPr>
        <w:pStyle w:val="ListParagraph"/>
        <w:numPr>
          <w:ilvl w:val="0"/>
          <w:numId w:val="19"/>
        </w:numPr>
        <w:rPr>
          <w:rFonts w:asciiTheme="majorHAnsi" w:hAnsiTheme="majorHAnsi"/>
        </w:rPr>
      </w:pPr>
      <w:r>
        <w:rPr>
          <w:rFonts w:asciiTheme="majorHAnsi" w:hAnsiTheme="majorHAnsi"/>
        </w:rPr>
        <w:t>Allocation of liability risk</w:t>
      </w:r>
      <w:r w:rsidR="006F1646">
        <w:rPr>
          <w:rFonts w:asciiTheme="majorHAnsi" w:hAnsiTheme="majorHAnsi"/>
        </w:rPr>
        <w:t>*</w:t>
      </w:r>
    </w:p>
    <w:p w14:paraId="56201E93" w14:textId="2941D182" w:rsidR="006D7820" w:rsidRDefault="006D7820" w:rsidP="006D7820">
      <w:pPr>
        <w:pStyle w:val="ListParagraph"/>
        <w:numPr>
          <w:ilvl w:val="0"/>
          <w:numId w:val="19"/>
        </w:numPr>
        <w:rPr>
          <w:rFonts w:asciiTheme="majorHAnsi" w:hAnsiTheme="majorHAnsi"/>
        </w:rPr>
      </w:pPr>
      <w:r>
        <w:rPr>
          <w:rFonts w:asciiTheme="majorHAnsi" w:hAnsiTheme="majorHAnsi"/>
        </w:rPr>
        <w:t>Other representations and warranties.</w:t>
      </w:r>
    </w:p>
    <w:p w14:paraId="11426A99" w14:textId="77777777" w:rsidR="006D7820" w:rsidRPr="006D7820" w:rsidRDefault="006D7820" w:rsidP="006D7820">
      <w:pPr>
        <w:rPr>
          <w:rFonts w:asciiTheme="majorHAnsi" w:hAnsiTheme="majorHAnsi"/>
        </w:rPr>
      </w:pPr>
    </w:p>
    <w:p w14:paraId="05879171" w14:textId="59D0EFB1" w:rsidR="002B63D0" w:rsidRPr="003271E3" w:rsidRDefault="00B35A50" w:rsidP="00864145">
      <w:pPr>
        <w:rPr>
          <w:rFonts w:asciiTheme="majorHAnsi" w:hAnsiTheme="majorHAnsi"/>
        </w:rPr>
      </w:pPr>
      <w:r>
        <w:rPr>
          <w:rFonts w:asciiTheme="majorHAnsi" w:hAnsiTheme="majorHAnsi"/>
        </w:rPr>
        <w:t>The principles asterisked above appear to be issues unique to the U.S.</w:t>
      </w:r>
      <w:r w:rsidR="007F7BA9">
        <w:rPr>
          <w:rFonts w:asciiTheme="majorHAnsi" w:hAnsiTheme="majorHAnsi"/>
        </w:rPr>
        <w:t xml:space="preserve"> or only explicitly mentioned in U.S.-based agreements</w:t>
      </w:r>
      <w:r>
        <w:rPr>
          <w:rFonts w:asciiTheme="majorHAnsi" w:hAnsiTheme="majorHAnsi"/>
        </w:rPr>
        <w:t xml:space="preserve"> based on the review of the current state of data use agreements. </w:t>
      </w:r>
      <w:r w:rsidR="003271E3">
        <w:rPr>
          <w:rFonts w:asciiTheme="majorHAnsi" w:hAnsiTheme="majorHAnsi"/>
        </w:rPr>
        <w:t>The DURSA continues to evolve; the eHealth Exchange</w:t>
      </w:r>
      <w:r w:rsidR="002775DC" w:rsidRPr="002775DC">
        <w:rPr>
          <w:rFonts w:asciiTheme="majorHAnsi" w:hAnsiTheme="majorHAnsi"/>
          <w:vertAlign w:val="superscript"/>
        </w:rPr>
        <w:t>TM</w:t>
      </w:r>
      <w:r w:rsidR="003271E3">
        <w:rPr>
          <w:rFonts w:asciiTheme="majorHAnsi" w:hAnsiTheme="majorHAnsi"/>
        </w:rPr>
        <w:t xml:space="preserve"> is discussing</w:t>
      </w:r>
      <w:r w:rsidR="00F11C22">
        <w:rPr>
          <w:rFonts w:asciiTheme="majorHAnsi" w:hAnsiTheme="majorHAnsi"/>
        </w:rPr>
        <w:t xml:space="preserve"> issues such as</w:t>
      </w:r>
      <w:r w:rsidR="003271E3">
        <w:rPr>
          <w:rFonts w:asciiTheme="majorHAnsi" w:hAnsiTheme="majorHAnsi"/>
        </w:rPr>
        <w:t xml:space="preserve"> whether to expand the initial permitted data uses</w:t>
      </w:r>
      <w:r w:rsidR="00F11C22">
        <w:rPr>
          <w:rFonts w:asciiTheme="majorHAnsi" w:hAnsiTheme="majorHAnsi"/>
        </w:rPr>
        <w:t>, revise the breach notification requirements, and address expectations for business associations of participants.</w:t>
      </w:r>
    </w:p>
    <w:p w14:paraId="0C79DEB6" w14:textId="77777777" w:rsidR="003271E3" w:rsidRPr="002B63D0" w:rsidRDefault="003271E3" w:rsidP="00864145">
      <w:pPr>
        <w:rPr>
          <w:rFonts w:asciiTheme="majorHAnsi" w:hAnsiTheme="majorHAnsi"/>
          <w:u w:val="single"/>
        </w:rPr>
      </w:pPr>
    </w:p>
    <w:p w14:paraId="0AB5FBC4" w14:textId="16B4C98F" w:rsidR="00864145" w:rsidRDefault="00FE5648" w:rsidP="00864145">
      <w:pPr>
        <w:rPr>
          <w:rFonts w:asciiTheme="majorHAnsi" w:hAnsiTheme="majorHAnsi"/>
          <w:u w:val="single"/>
        </w:rPr>
      </w:pPr>
      <w:r>
        <w:rPr>
          <w:rFonts w:asciiTheme="majorHAnsi" w:hAnsiTheme="majorHAnsi"/>
          <w:u w:val="single"/>
        </w:rPr>
        <w:t>Experience</w:t>
      </w:r>
      <w:r w:rsidR="00862063">
        <w:rPr>
          <w:rFonts w:asciiTheme="majorHAnsi" w:hAnsiTheme="majorHAnsi"/>
          <w:u w:val="single"/>
        </w:rPr>
        <w:t>s and Lesson</w:t>
      </w:r>
      <w:r w:rsidR="00E56FE8">
        <w:rPr>
          <w:rFonts w:asciiTheme="majorHAnsi" w:hAnsiTheme="majorHAnsi"/>
          <w:u w:val="single"/>
        </w:rPr>
        <w:t>s</w:t>
      </w:r>
      <w:r w:rsidR="00862063">
        <w:rPr>
          <w:rFonts w:asciiTheme="majorHAnsi" w:hAnsiTheme="majorHAnsi"/>
          <w:u w:val="single"/>
        </w:rPr>
        <w:t xml:space="preserve"> Learned</w:t>
      </w:r>
      <w:r>
        <w:rPr>
          <w:rFonts w:asciiTheme="majorHAnsi" w:hAnsiTheme="majorHAnsi"/>
          <w:u w:val="single"/>
        </w:rPr>
        <w:t xml:space="preserve"> </w:t>
      </w:r>
      <w:r w:rsidR="00862063">
        <w:rPr>
          <w:rFonts w:asciiTheme="majorHAnsi" w:hAnsiTheme="majorHAnsi"/>
          <w:u w:val="single"/>
        </w:rPr>
        <w:t xml:space="preserve">in </w:t>
      </w:r>
      <w:r w:rsidR="00B650E0">
        <w:rPr>
          <w:rFonts w:asciiTheme="majorHAnsi" w:hAnsiTheme="majorHAnsi"/>
          <w:u w:val="single"/>
        </w:rPr>
        <w:t>the DURSA</w:t>
      </w:r>
      <w:r w:rsidR="00862063">
        <w:rPr>
          <w:rFonts w:asciiTheme="majorHAnsi" w:hAnsiTheme="majorHAnsi"/>
          <w:u w:val="single"/>
        </w:rPr>
        <w:t xml:space="preserve"> Development</w:t>
      </w:r>
    </w:p>
    <w:p w14:paraId="42B89479" w14:textId="77777777" w:rsidR="004364AB" w:rsidRDefault="004364AB" w:rsidP="00864145">
      <w:pPr>
        <w:rPr>
          <w:rFonts w:asciiTheme="majorHAnsi" w:hAnsiTheme="majorHAnsi"/>
          <w:u w:val="single"/>
        </w:rPr>
      </w:pPr>
    </w:p>
    <w:p w14:paraId="68BC6002" w14:textId="2C9FCBD6" w:rsidR="00FE5B54" w:rsidRDefault="004364AB" w:rsidP="00864145">
      <w:pPr>
        <w:rPr>
          <w:rFonts w:asciiTheme="majorHAnsi" w:hAnsiTheme="majorHAnsi"/>
        </w:rPr>
      </w:pPr>
      <w:r>
        <w:rPr>
          <w:rFonts w:asciiTheme="majorHAnsi" w:hAnsiTheme="majorHAnsi"/>
        </w:rPr>
        <w:t xml:space="preserve">During the development of the DURSA, </w:t>
      </w:r>
      <w:r w:rsidR="00582383">
        <w:rPr>
          <w:rFonts w:asciiTheme="majorHAnsi" w:hAnsiTheme="majorHAnsi"/>
        </w:rPr>
        <w:t>one federal agency</w:t>
      </w:r>
      <w:r>
        <w:rPr>
          <w:rFonts w:asciiTheme="majorHAnsi" w:hAnsiTheme="majorHAnsi"/>
        </w:rPr>
        <w:t xml:space="preserve"> worked with other </w:t>
      </w:r>
      <w:r w:rsidR="004C41E9">
        <w:rPr>
          <w:rFonts w:asciiTheme="majorHAnsi" w:hAnsiTheme="majorHAnsi"/>
        </w:rPr>
        <w:t>eHealth Exchange</w:t>
      </w:r>
      <w:r w:rsidR="002775DC" w:rsidRPr="002775DC">
        <w:rPr>
          <w:rFonts w:asciiTheme="majorHAnsi" w:hAnsiTheme="majorHAnsi"/>
          <w:vertAlign w:val="superscript"/>
        </w:rPr>
        <w:t>TM</w:t>
      </w:r>
      <w:r>
        <w:rPr>
          <w:rFonts w:asciiTheme="majorHAnsi" w:hAnsiTheme="majorHAnsi"/>
        </w:rPr>
        <w:t xml:space="preserve"> partners on the issue of obtaining consent to share information. </w:t>
      </w:r>
      <w:r w:rsidR="00582383">
        <w:rPr>
          <w:rFonts w:asciiTheme="majorHAnsi" w:hAnsiTheme="majorHAnsi"/>
        </w:rPr>
        <w:t>This federal agency is</w:t>
      </w:r>
      <w:r w:rsidR="00CA672A">
        <w:rPr>
          <w:rFonts w:asciiTheme="majorHAnsi" w:hAnsiTheme="majorHAnsi"/>
        </w:rPr>
        <w:t xml:space="preserve"> subject to statute</w:t>
      </w:r>
      <w:r w:rsidR="00B529D5">
        <w:rPr>
          <w:rFonts w:asciiTheme="majorHAnsi" w:hAnsiTheme="majorHAnsi"/>
        </w:rPr>
        <w:t xml:space="preserve"> </w:t>
      </w:r>
      <w:r w:rsidR="00CA672A">
        <w:rPr>
          <w:rFonts w:asciiTheme="majorHAnsi" w:hAnsiTheme="majorHAnsi"/>
        </w:rPr>
        <w:t>that require</w:t>
      </w:r>
      <w:r w:rsidR="00B529D5">
        <w:rPr>
          <w:rFonts w:asciiTheme="majorHAnsi" w:hAnsiTheme="majorHAnsi"/>
        </w:rPr>
        <w:t>s</w:t>
      </w:r>
      <w:r w:rsidR="00CA672A">
        <w:rPr>
          <w:rFonts w:asciiTheme="majorHAnsi" w:hAnsiTheme="majorHAnsi"/>
        </w:rPr>
        <w:t xml:space="preserve"> written permission</w:t>
      </w:r>
      <w:r>
        <w:rPr>
          <w:rFonts w:asciiTheme="majorHAnsi" w:hAnsiTheme="majorHAnsi"/>
        </w:rPr>
        <w:t xml:space="preserve"> to disclose information</w:t>
      </w:r>
      <w:r w:rsidR="00CA672A">
        <w:rPr>
          <w:rFonts w:asciiTheme="majorHAnsi" w:hAnsiTheme="majorHAnsi"/>
        </w:rPr>
        <w:t xml:space="preserve"> by Veterans with certain diagnoses, such as alcoholism, HIV, and sickle cell anemia</w:t>
      </w:r>
      <w:r>
        <w:rPr>
          <w:rFonts w:asciiTheme="majorHAnsi" w:hAnsiTheme="majorHAnsi"/>
        </w:rPr>
        <w:t xml:space="preserve">. The </w:t>
      </w:r>
      <w:r w:rsidR="004C41E9">
        <w:rPr>
          <w:rFonts w:asciiTheme="majorHAnsi" w:hAnsiTheme="majorHAnsi"/>
        </w:rPr>
        <w:t xml:space="preserve">DURSA </w:t>
      </w:r>
      <w:r w:rsidR="00CA672A">
        <w:rPr>
          <w:rFonts w:asciiTheme="majorHAnsi" w:hAnsiTheme="majorHAnsi"/>
        </w:rPr>
        <w:t xml:space="preserve">authors and software </w:t>
      </w:r>
      <w:r>
        <w:rPr>
          <w:rFonts w:asciiTheme="majorHAnsi" w:hAnsiTheme="majorHAnsi"/>
        </w:rPr>
        <w:t xml:space="preserve">developers had to decide how this requirement would translate to the world of electronic exchange. </w:t>
      </w:r>
      <w:r w:rsidR="00582383">
        <w:rPr>
          <w:rFonts w:asciiTheme="majorHAnsi" w:hAnsiTheme="majorHAnsi"/>
        </w:rPr>
        <w:t xml:space="preserve">At the time, the agency’s </w:t>
      </w:r>
      <w:r w:rsidR="00CA672A">
        <w:rPr>
          <w:rFonts w:asciiTheme="majorHAnsi" w:hAnsiTheme="majorHAnsi"/>
        </w:rPr>
        <w:t>s</w:t>
      </w:r>
      <w:r>
        <w:rPr>
          <w:rFonts w:asciiTheme="majorHAnsi" w:hAnsiTheme="majorHAnsi"/>
        </w:rPr>
        <w:t xml:space="preserve">ystems were not sophisticated enough to filter data by written </w:t>
      </w:r>
      <w:r w:rsidR="00CA672A">
        <w:rPr>
          <w:rFonts w:asciiTheme="majorHAnsi" w:hAnsiTheme="majorHAnsi"/>
        </w:rPr>
        <w:t>diagnosis</w:t>
      </w:r>
      <w:r w:rsidR="00C451CD">
        <w:rPr>
          <w:rFonts w:asciiTheme="majorHAnsi" w:hAnsiTheme="majorHAnsi"/>
        </w:rPr>
        <w:t xml:space="preserve">. </w:t>
      </w:r>
    </w:p>
    <w:p w14:paraId="527CCD07" w14:textId="77777777" w:rsidR="00FE5B54" w:rsidRDefault="00FE5B54" w:rsidP="00864145">
      <w:pPr>
        <w:rPr>
          <w:rFonts w:asciiTheme="majorHAnsi" w:hAnsiTheme="majorHAnsi"/>
        </w:rPr>
      </w:pPr>
    </w:p>
    <w:p w14:paraId="3E24C0B2" w14:textId="6F09C9C0" w:rsidR="004364AB" w:rsidRPr="004364AB" w:rsidRDefault="00C451CD" w:rsidP="00864145">
      <w:pPr>
        <w:rPr>
          <w:rFonts w:asciiTheme="majorHAnsi" w:hAnsiTheme="majorHAnsi"/>
        </w:rPr>
      </w:pPr>
      <w:r>
        <w:rPr>
          <w:rFonts w:asciiTheme="majorHAnsi" w:hAnsiTheme="majorHAnsi"/>
        </w:rPr>
        <w:t>One option was to require written consent for every patient</w:t>
      </w:r>
      <w:r w:rsidR="00CA672A">
        <w:rPr>
          <w:rFonts w:asciiTheme="majorHAnsi" w:hAnsiTheme="majorHAnsi"/>
        </w:rPr>
        <w:t>. While this approach</w:t>
      </w:r>
      <w:r>
        <w:rPr>
          <w:rFonts w:asciiTheme="majorHAnsi" w:hAnsiTheme="majorHAnsi"/>
        </w:rPr>
        <w:t xml:space="preserve"> was seen as overly burdensome</w:t>
      </w:r>
      <w:r w:rsidR="00CA672A">
        <w:rPr>
          <w:rFonts w:asciiTheme="majorHAnsi" w:hAnsiTheme="majorHAnsi"/>
        </w:rPr>
        <w:t xml:space="preserve">, </w:t>
      </w:r>
      <w:r w:rsidR="00582383">
        <w:rPr>
          <w:rFonts w:asciiTheme="majorHAnsi" w:hAnsiTheme="majorHAnsi"/>
        </w:rPr>
        <w:t xml:space="preserve">the agency </w:t>
      </w:r>
      <w:r w:rsidR="00CA672A">
        <w:rPr>
          <w:rFonts w:asciiTheme="majorHAnsi" w:hAnsiTheme="majorHAnsi"/>
        </w:rPr>
        <w:t>elected this path to minimize the risk of unintended release of protected information</w:t>
      </w:r>
      <w:r>
        <w:rPr>
          <w:rFonts w:asciiTheme="majorHAnsi" w:hAnsiTheme="majorHAnsi"/>
        </w:rPr>
        <w:t>.</w:t>
      </w:r>
      <w:r w:rsidR="004364AB">
        <w:rPr>
          <w:rFonts w:asciiTheme="majorHAnsi" w:hAnsiTheme="majorHAnsi"/>
        </w:rPr>
        <w:t xml:space="preserve"> </w:t>
      </w:r>
      <w:r w:rsidR="00CA672A">
        <w:rPr>
          <w:rFonts w:asciiTheme="majorHAnsi" w:hAnsiTheme="majorHAnsi"/>
        </w:rPr>
        <w:t>T</w:t>
      </w:r>
      <w:r w:rsidR="004364AB">
        <w:rPr>
          <w:rFonts w:asciiTheme="majorHAnsi" w:hAnsiTheme="majorHAnsi"/>
        </w:rPr>
        <w:t xml:space="preserve">he </w:t>
      </w:r>
      <w:r w:rsidR="004C41E9">
        <w:rPr>
          <w:rFonts w:asciiTheme="majorHAnsi" w:hAnsiTheme="majorHAnsi"/>
        </w:rPr>
        <w:t xml:space="preserve">DURSA </w:t>
      </w:r>
      <w:r w:rsidR="00CA672A">
        <w:rPr>
          <w:rFonts w:asciiTheme="majorHAnsi" w:hAnsiTheme="majorHAnsi"/>
        </w:rPr>
        <w:t xml:space="preserve">authors </w:t>
      </w:r>
      <w:r w:rsidR="004364AB">
        <w:rPr>
          <w:rFonts w:asciiTheme="majorHAnsi" w:hAnsiTheme="majorHAnsi"/>
        </w:rPr>
        <w:t xml:space="preserve">decided </w:t>
      </w:r>
      <w:r>
        <w:rPr>
          <w:rFonts w:asciiTheme="majorHAnsi" w:hAnsiTheme="majorHAnsi"/>
        </w:rPr>
        <w:t xml:space="preserve">on a policy that requires each participant </w:t>
      </w:r>
      <w:r w:rsidR="00CA672A">
        <w:rPr>
          <w:rFonts w:asciiTheme="majorHAnsi" w:hAnsiTheme="majorHAnsi"/>
        </w:rPr>
        <w:t xml:space="preserve">health system </w:t>
      </w:r>
      <w:r>
        <w:rPr>
          <w:rFonts w:asciiTheme="majorHAnsi" w:hAnsiTheme="majorHAnsi"/>
        </w:rPr>
        <w:t xml:space="preserve">to obtain the correct </w:t>
      </w:r>
      <w:r w:rsidR="00B529D5">
        <w:rPr>
          <w:rFonts w:asciiTheme="majorHAnsi" w:hAnsiTheme="majorHAnsi"/>
        </w:rPr>
        <w:t xml:space="preserve">consent or authorization applicable to the responding Participant </w:t>
      </w:r>
      <w:r>
        <w:rPr>
          <w:rFonts w:asciiTheme="majorHAnsi" w:hAnsiTheme="majorHAnsi"/>
        </w:rPr>
        <w:t>before releasing information to the network, whether these reflect state laws or institutional requirements</w:t>
      </w:r>
      <w:r w:rsidR="004364AB">
        <w:rPr>
          <w:rFonts w:asciiTheme="majorHAnsi" w:hAnsiTheme="majorHAnsi"/>
        </w:rPr>
        <w:t>.</w:t>
      </w:r>
      <w:r w:rsidR="00BC7A0F">
        <w:rPr>
          <w:rFonts w:asciiTheme="majorHAnsi" w:hAnsiTheme="majorHAnsi"/>
        </w:rPr>
        <w:t xml:space="preserve"> This approach ensures that one participant’s requirements cannot be imposed on any other participants.</w:t>
      </w:r>
      <w:r w:rsidR="004364AB">
        <w:rPr>
          <w:rFonts w:asciiTheme="majorHAnsi" w:hAnsiTheme="majorHAnsi"/>
        </w:rPr>
        <w:t xml:space="preserve"> Today, the </w:t>
      </w:r>
      <w:r w:rsidR="000A2D6A">
        <w:rPr>
          <w:rFonts w:asciiTheme="majorHAnsi" w:hAnsiTheme="majorHAnsi"/>
        </w:rPr>
        <w:t xml:space="preserve">agency </w:t>
      </w:r>
      <w:r w:rsidR="004364AB">
        <w:rPr>
          <w:rFonts w:asciiTheme="majorHAnsi" w:hAnsiTheme="majorHAnsi"/>
        </w:rPr>
        <w:t>is developing a more robust</w:t>
      </w:r>
      <w:r w:rsidR="000575DE">
        <w:rPr>
          <w:rFonts w:asciiTheme="majorHAnsi" w:hAnsiTheme="majorHAnsi"/>
        </w:rPr>
        <w:t xml:space="preserve"> and nuanced</w:t>
      </w:r>
      <w:r w:rsidR="004364AB">
        <w:rPr>
          <w:rFonts w:asciiTheme="majorHAnsi" w:hAnsiTheme="majorHAnsi"/>
        </w:rPr>
        <w:t xml:space="preserve"> way to filter by</w:t>
      </w:r>
      <w:r w:rsidR="00CB2859">
        <w:rPr>
          <w:rFonts w:asciiTheme="majorHAnsi" w:hAnsiTheme="majorHAnsi"/>
        </w:rPr>
        <w:t xml:space="preserve"> diagnosis to help address the original</w:t>
      </w:r>
      <w:r w:rsidR="004364AB">
        <w:rPr>
          <w:rFonts w:asciiTheme="majorHAnsi" w:hAnsiTheme="majorHAnsi"/>
        </w:rPr>
        <w:t xml:space="preserve"> consent concerns. Th</w:t>
      </w:r>
      <w:r w:rsidR="000A2D6A">
        <w:rPr>
          <w:rFonts w:asciiTheme="majorHAnsi" w:hAnsiTheme="majorHAnsi"/>
        </w:rPr>
        <w:t>is illustrates</w:t>
      </w:r>
      <w:r w:rsidR="004364AB">
        <w:rPr>
          <w:rFonts w:asciiTheme="majorHAnsi" w:hAnsiTheme="majorHAnsi"/>
        </w:rPr>
        <w:t xml:space="preserve"> one example of </w:t>
      </w:r>
      <w:r>
        <w:rPr>
          <w:rFonts w:asciiTheme="majorHAnsi" w:hAnsiTheme="majorHAnsi"/>
        </w:rPr>
        <w:t>how the developers of the DURSA had to address a way forward to address the</w:t>
      </w:r>
      <w:r w:rsidR="004364AB">
        <w:rPr>
          <w:rFonts w:asciiTheme="majorHAnsi" w:hAnsiTheme="majorHAnsi"/>
        </w:rPr>
        <w:t xml:space="preserve"> “strictest” requirements </w:t>
      </w:r>
      <w:r>
        <w:rPr>
          <w:rFonts w:asciiTheme="majorHAnsi" w:hAnsiTheme="majorHAnsi"/>
        </w:rPr>
        <w:t>in a workable policy for the entire network</w:t>
      </w:r>
      <w:r w:rsidR="004364AB">
        <w:rPr>
          <w:rFonts w:asciiTheme="majorHAnsi" w:hAnsiTheme="majorHAnsi"/>
        </w:rPr>
        <w:t>.</w:t>
      </w:r>
    </w:p>
    <w:p w14:paraId="35BCC4F4" w14:textId="77777777" w:rsidR="00B650E0" w:rsidRDefault="00B650E0" w:rsidP="00864145">
      <w:pPr>
        <w:rPr>
          <w:rFonts w:asciiTheme="majorHAnsi" w:hAnsiTheme="majorHAnsi"/>
        </w:rPr>
      </w:pPr>
    </w:p>
    <w:p w14:paraId="41CAC5F5" w14:textId="45273CBB" w:rsidR="003B41E8" w:rsidRDefault="00E56FE8" w:rsidP="00864145">
      <w:pPr>
        <w:rPr>
          <w:rFonts w:asciiTheme="majorHAnsi" w:hAnsiTheme="majorHAnsi"/>
        </w:rPr>
      </w:pPr>
      <w:r w:rsidRPr="001044F2">
        <w:rPr>
          <w:rFonts w:asciiTheme="majorHAnsi" w:hAnsiTheme="majorHAnsi"/>
        </w:rPr>
        <w:t xml:space="preserve">Another federal agency </w:t>
      </w:r>
      <w:r w:rsidR="003B41E8">
        <w:rPr>
          <w:rFonts w:asciiTheme="majorHAnsi" w:hAnsiTheme="majorHAnsi"/>
        </w:rPr>
        <w:t xml:space="preserve">developed its own federated data sharing services agreement </w:t>
      </w:r>
      <w:r w:rsidR="000E0492">
        <w:rPr>
          <w:rFonts w:asciiTheme="majorHAnsi" w:hAnsiTheme="majorHAnsi"/>
        </w:rPr>
        <w:t>to</w:t>
      </w:r>
      <w:r w:rsidR="00D82701">
        <w:rPr>
          <w:rFonts w:asciiTheme="majorHAnsi" w:hAnsiTheme="majorHAnsi"/>
        </w:rPr>
        <w:t xml:space="preserve"> covered entities </w:t>
      </w:r>
      <w:r w:rsidR="000E0492">
        <w:rPr>
          <w:rFonts w:asciiTheme="majorHAnsi" w:hAnsiTheme="majorHAnsi"/>
        </w:rPr>
        <w:t xml:space="preserve">who </w:t>
      </w:r>
      <w:r w:rsidR="00D82701">
        <w:rPr>
          <w:rFonts w:asciiTheme="majorHAnsi" w:hAnsiTheme="majorHAnsi"/>
        </w:rPr>
        <w:t>desire</w:t>
      </w:r>
      <w:r w:rsidR="000E0492">
        <w:rPr>
          <w:rFonts w:asciiTheme="majorHAnsi" w:hAnsiTheme="majorHAnsi"/>
        </w:rPr>
        <w:t>d</w:t>
      </w:r>
      <w:r w:rsidR="00D82701">
        <w:rPr>
          <w:rFonts w:asciiTheme="majorHAnsi" w:hAnsiTheme="majorHAnsi"/>
        </w:rPr>
        <w:t xml:space="preserve"> to engage in electronic exchange as part of the “meaningful use” program. This was a novel legal tool for </w:t>
      </w:r>
      <w:r w:rsidR="000E0492">
        <w:rPr>
          <w:rFonts w:asciiTheme="majorHAnsi" w:hAnsiTheme="majorHAnsi"/>
        </w:rPr>
        <w:t xml:space="preserve">this agency </w:t>
      </w:r>
      <w:r w:rsidR="00D82701">
        <w:rPr>
          <w:rFonts w:asciiTheme="majorHAnsi" w:hAnsiTheme="majorHAnsi"/>
        </w:rPr>
        <w:t xml:space="preserve">because </w:t>
      </w:r>
      <w:r w:rsidR="00CE6E90">
        <w:rPr>
          <w:rFonts w:asciiTheme="majorHAnsi" w:hAnsiTheme="majorHAnsi"/>
        </w:rPr>
        <w:t>the organization</w:t>
      </w:r>
      <w:r w:rsidR="00D82701">
        <w:rPr>
          <w:rFonts w:asciiTheme="majorHAnsi" w:hAnsiTheme="majorHAnsi"/>
        </w:rPr>
        <w:t xml:space="preserve"> historically entered into bilateral (point-to-point) agreements</w:t>
      </w:r>
      <w:r w:rsidR="000E0492">
        <w:rPr>
          <w:rFonts w:asciiTheme="majorHAnsi" w:hAnsiTheme="majorHAnsi"/>
        </w:rPr>
        <w:t>.</w:t>
      </w:r>
      <w:r w:rsidR="00D82701">
        <w:rPr>
          <w:rFonts w:asciiTheme="majorHAnsi" w:hAnsiTheme="majorHAnsi"/>
        </w:rPr>
        <w:t xml:space="preserve"> </w:t>
      </w:r>
      <w:r w:rsidR="000E0492">
        <w:rPr>
          <w:rFonts w:asciiTheme="majorHAnsi" w:hAnsiTheme="majorHAnsi"/>
        </w:rPr>
        <w:t xml:space="preserve">The federated agreement </w:t>
      </w:r>
      <w:r w:rsidR="00D82701">
        <w:rPr>
          <w:rFonts w:asciiTheme="majorHAnsi" w:hAnsiTheme="majorHAnsi"/>
        </w:rPr>
        <w:t>creates a single framework and covers multiple purposes</w:t>
      </w:r>
      <w:r w:rsidR="00EC7344">
        <w:rPr>
          <w:rFonts w:asciiTheme="majorHAnsi" w:hAnsiTheme="majorHAnsi"/>
        </w:rPr>
        <w:t xml:space="preserve"> and needs</w:t>
      </w:r>
      <w:r w:rsidR="00D82701">
        <w:rPr>
          <w:rFonts w:asciiTheme="majorHAnsi" w:hAnsiTheme="majorHAnsi"/>
        </w:rPr>
        <w:t>, including security, privacy, health information management, and other legal requirements</w:t>
      </w:r>
      <w:r w:rsidR="000E0492">
        <w:rPr>
          <w:rFonts w:asciiTheme="majorHAnsi" w:hAnsiTheme="majorHAnsi"/>
        </w:rPr>
        <w:t xml:space="preserve">, and </w:t>
      </w:r>
      <w:r w:rsidR="00D82701">
        <w:rPr>
          <w:rFonts w:asciiTheme="majorHAnsi" w:hAnsiTheme="majorHAnsi"/>
        </w:rPr>
        <w:t>is modeled after the eHealth Exchange</w:t>
      </w:r>
      <w:r w:rsidR="002775DC" w:rsidRPr="002775DC">
        <w:rPr>
          <w:rFonts w:asciiTheme="majorHAnsi" w:hAnsiTheme="majorHAnsi"/>
          <w:vertAlign w:val="superscript"/>
        </w:rPr>
        <w:t>TM</w:t>
      </w:r>
      <w:r w:rsidR="00D82701">
        <w:rPr>
          <w:rFonts w:asciiTheme="majorHAnsi" w:hAnsiTheme="majorHAnsi"/>
        </w:rPr>
        <w:t xml:space="preserve"> DURSA. </w:t>
      </w:r>
    </w:p>
    <w:p w14:paraId="7118F941" w14:textId="77777777" w:rsidR="00D82701" w:rsidRDefault="00D82701" w:rsidP="00864145">
      <w:pPr>
        <w:rPr>
          <w:rFonts w:asciiTheme="majorHAnsi" w:hAnsiTheme="majorHAnsi"/>
        </w:rPr>
      </w:pPr>
    </w:p>
    <w:p w14:paraId="661F276D" w14:textId="6CEB28DE" w:rsidR="00D82701" w:rsidRPr="0058647D" w:rsidRDefault="00D82701" w:rsidP="00864145">
      <w:pPr>
        <w:rPr>
          <w:rFonts w:asciiTheme="majorHAnsi" w:hAnsiTheme="majorHAnsi"/>
        </w:rPr>
      </w:pPr>
      <w:r>
        <w:rPr>
          <w:rFonts w:asciiTheme="majorHAnsi" w:hAnsiTheme="majorHAnsi"/>
        </w:rPr>
        <w:t xml:space="preserve">In terms of implementation and onboarding with HIEs around the country, </w:t>
      </w:r>
      <w:r w:rsidR="000E0492">
        <w:rPr>
          <w:rFonts w:asciiTheme="majorHAnsi" w:hAnsiTheme="majorHAnsi"/>
        </w:rPr>
        <w:t>the federated agreement</w:t>
      </w:r>
      <w:r>
        <w:rPr>
          <w:rFonts w:asciiTheme="majorHAnsi" w:hAnsiTheme="majorHAnsi"/>
        </w:rPr>
        <w:t xml:space="preserve"> participants have experienced resource challenges. </w:t>
      </w:r>
      <w:r w:rsidR="000E0492">
        <w:rPr>
          <w:rFonts w:asciiTheme="majorHAnsi" w:hAnsiTheme="majorHAnsi"/>
        </w:rPr>
        <w:t xml:space="preserve">One challenge includes the </w:t>
      </w:r>
      <w:r w:rsidR="00D21889">
        <w:rPr>
          <w:rFonts w:asciiTheme="majorHAnsi" w:hAnsiTheme="majorHAnsi"/>
        </w:rPr>
        <w:t>unique and varied regional and statewide</w:t>
      </w:r>
      <w:r>
        <w:rPr>
          <w:rFonts w:asciiTheme="majorHAnsi" w:hAnsiTheme="majorHAnsi"/>
        </w:rPr>
        <w:t xml:space="preserve"> standards and requirements</w:t>
      </w:r>
      <w:r w:rsidR="000E0492" w:rsidRPr="000E0492">
        <w:rPr>
          <w:rFonts w:asciiTheme="majorHAnsi" w:hAnsiTheme="majorHAnsi"/>
        </w:rPr>
        <w:t xml:space="preserve"> </w:t>
      </w:r>
      <w:r w:rsidR="000E0492">
        <w:rPr>
          <w:rFonts w:asciiTheme="majorHAnsi" w:hAnsiTheme="majorHAnsi"/>
        </w:rPr>
        <w:t>regional and state HIEs have created</w:t>
      </w:r>
      <w:r w:rsidR="00D21889">
        <w:rPr>
          <w:rFonts w:asciiTheme="majorHAnsi" w:hAnsiTheme="majorHAnsi"/>
        </w:rPr>
        <w:t>. Facilities that wis</w:t>
      </w:r>
      <w:r w:rsidR="00740F13">
        <w:rPr>
          <w:rFonts w:asciiTheme="majorHAnsi" w:hAnsiTheme="majorHAnsi"/>
        </w:rPr>
        <w:t>h</w:t>
      </w:r>
      <w:r w:rsidR="00D21889">
        <w:rPr>
          <w:rFonts w:asciiTheme="majorHAnsi" w:hAnsiTheme="majorHAnsi"/>
        </w:rPr>
        <w:t xml:space="preserve"> to participate in local/ regional data exchange must interface with these specific r</w:t>
      </w:r>
      <w:r w:rsidR="00740F13">
        <w:rPr>
          <w:rFonts w:asciiTheme="majorHAnsi" w:hAnsiTheme="majorHAnsi"/>
        </w:rPr>
        <w:t>e</w:t>
      </w:r>
      <w:r w:rsidR="00D21889">
        <w:rPr>
          <w:rFonts w:asciiTheme="majorHAnsi" w:hAnsiTheme="majorHAnsi"/>
        </w:rPr>
        <w:t>quirements</w:t>
      </w:r>
      <w:r w:rsidR="00EB396B">
        <w:rPr>
          <w:rFonts w:asciiTheme="majorHAnsi" w:hAnsiTheme="majorHAnsi"/>
        </w:rPr>
        <w:t xml:space="preserve"> which has resulted in point-to-point exchanges rather than a cohesive, integrated network</w:t>
      </w:r>
      <w:r w:rsidR="00D21889">
        <w:rPr>
          <w:rFonts w:asciiTheme="majorHAnsi" w:hAnsiTheme="majorHAnsi"/>
        </w:rPr>
        <w:t xml:space="preserve">. </w:t>
      </w:r>
      <w:r>
        <w:rPr>
          <w:rFonts w:asciiTheme="majorHAnsi" w:hAnsiTheme="majorHAnsi"/>
        </w:rPr>
        <w:t xml:space="preserve"> </w:t>
      </w:r>
      <w:r w:rsidR="000E0492">
        <w:rPr>
          <w:rFonts w:asciiTheme="majorHAnsi" w:hAnsiTheme="majorHAnsi"/>
        </w:rPr>
        <w:t>The agency</w:t>
      </w:r>
      <w:r>
        <w:rPr>
          <w:rFonts w:asciiTheme="majorHAnsi" w:hAnsiTheme="majorHAnsi"/>
        </w:rPr>
        <w:t xml:space="preserve"> does not have the resources to support all of its HIE participants in onboarding with each state and regional HIE. Thus, there is an opportunity for a shared service on the national level to assist with these connections</w:t>
      </w:r>
      <w:r w:rsidR="005F7C03">
        <w:rPr>
          <w:rFonts w:asciiTheme="majorHAnsi" w:hAnsiTheme="majorHAnsi"/>
        </w:rPr>
        <w:t xml:space="preserve"> and reduce the cost and complexity of data exchange</w:t>
      </w:r>
      <w:r>
        <w:rPr>
          <w:rFonts w:asciiTheme="majorHAnsi" w:hAnsiTheme="majorHAnsi"/>
        </w:rPr>
        <w:t>.</w:t>
      </w:r>
    </w:p>
    <w:p w14:paraId="521BA38D" w14:textId="77777777" w:rsidR="0058647D" w:rsidRPr="009568A4" w:rsidRDefault="0058647D" w:rsidP="00864145">
      <w:pPr>
        <w:rPr>
          <w:rFonts w:asciiTheme="majorHAnsi" w:hAnsiTheme="majorHAnsi"/>
        </w:rPr>
      </w:pPr>
    </w:p>
    <w:p w14:paraId="3E73C7A5" w14:textId="01DCB7C4" w:rsidR="00864145" w:rsidRDefault="00F62963" w:rsidP="00864145">
      <w:pPr>
        <w:rPr>
          <w:rFonts w:asciiTheme="majorHAnsi" w:hAnsiTheme="majorHAnsi"/>
          <w:u w:val="single"/>
        </w:rPr>
      </w:pPr>
      <w:r w:rsidRPr="00F62963">
        <w:rPr>
          <w:rFonts w:asciiTheme="majorHAnsi" w:hAnsiTheme="majorHAnsi"/>
          <w:u w:val="single"/>
        </w:rPr>
        <w:t>Applying Lessons Learned from the eHealth Exchange</w:t>
      </w:r>
      <w:r w:rsidR="002775DC" w:rsidRPr="002775DC">
        <w:rPr>
          <w:rFonts w:asciiTheme="majorHAnsi" w:hAnsiTheme="majorHAnsi"/>
          <w:u w:val="single"/>
          <w:vertAlign w:val="superscript"/>
        </w:rPr>
        <w:t>TM</w:t>
      </w:r>
      <w:r w:rsidRPr="00F62963">
        <w:rPr>
          <w:rFonts w:asciiTheme="majorHAnsi" w:hAnsiTheme="majorHAnsi"/>
          <w:u w:val="single"/>
        </w:rPr>
        <w:t xml:space="preserve"> Network – </w:t>
      </w:r>
      <w:r w:rsidR="006821E5">
        <w:rPr>
          <w:rFonts w:asciiTheme="majorHAnsi" w:hAnsiTheme="majorHAnsi"/>
          <w:u w:val="single"/>
        </w:rPr>
        <w:t>Carequality</w:t>
      </w:r>
      <w:r w:rsidR="006821E5" w:rsidRPr="006821E5">
        <w:rPr>
          <w:rFonts w:asciiTheme="majorHAnsi" w:hAnsiTheme="majorHAnsi"/>
          <w:u w:val="single"/>
          <w:vertAlign w:val="superscript"/>
        </w:rPr>
        <w:t>®</w:t>
      </w:r>
      <w:r w:rsidRPr="00F62963">
        <w:rPr>
          <w:rFonts w:asciiTheme="majorHAnsi" w:hAnsiTheme="majorHAnsi"/>
          <w:u w:val="single"/>
        </w:rPr>
        <w:t xml:space="preserve"> </w:t>
      </w:r>
      <w:r w:rsidR="007A0A82">
        <w:rPr>
          <w:rFonts w:asciiTheme="majorHAnsi" w:hAnsiTheme="majorHAnsi"/>
          <w:u w:val="single"/>
        </w:rPr>
        <w:t>Initiative</w:t>
      </w:r>
    </w:p>
    <w:p w14:paraId="1E04ECAE" w14:textId="77777777" w:rsidR="00C565A1" w:rsidRDefault="00C565A1" w:rsidP="00864145">
      <w:pPr>
        <w:rPr>
          <w:rFonts w:asciiTheme="majorHAnsi" w:hAnsiTheme="majorHAnsi"/>
          <w:u w:val="single"/>
        </w:rPr>
      </w:pPr>
    </w:p>
    <w:p w14:paraId="35BA464C" w14:textId="2B51579F" w:rsidR="00A61156" w:rsidRDefault="00C565A1" w:rsidP="00864145">
      <w:pPr>
        <w:rPr>
          <w:rFonts w:asciiTheme="majorHAnsi" w:hAnsiTheme="majorHAnsi"/>
        </w:rPr>
      </w:pPr>
      <w:r>
        <w:rPr>
          <w:rFonts w:asciiTheme="majorHAnsi" w:hAnsiTheme="majorHAnsi"/>
        </w:rPr>
        <w:t xml:space="preserve">The </w:t>
      </w:r>
      <w:hyperlink r:id="rId41" w:history="1">
        <w:r w:rsidR="006821E5">
          <w:rPr>
            <w:rStyle w:val="Hyperlink"/>
            <w:rFonts w:asciiTheme="majorHAnsi" w:hAnsiTheme="majorHAnsi"/>
          </w:rPr>
          <w:t>Carequality</w:t>
        </w:r>
        <w:r w:rsidR="006821E5" w:rsidRPr="006821E5">
          <w:rPr>
            <w:rStyle w:val="Hyperlink"/>
            <w:rFonts w:asciiTheme="majorHAnsi" w:hAnsiTheme="majorHAnsi"/>
            <w:vertAlign w:val="superscript"/>
          </w:rPr>
          <w:t>®</w:t>
        </w:r>
      </w:hyperlink>
      <w:r>
        <w:rPr>
          <w:rFonts w:asciiTheme="majorHAnsi" w:hAnsiTheme="majorHAnsi"/>
        </w:rPr>
        <w:t xml:space="preserve"> </w:t>
      </w:r>
      <w:r w:rsidR="00C814FD">
        <w:rPr>
          <w:rFonts w:asciiTheme="majorHAnsi" w:hAnsiTheme="majorHAnsi"/>
        </w:rPr>
        <w:t xml:space="preserve">(pronounced “care equality”) </w:t>
      </w:r>
      <w:r w:rsidR="007A0A82">
        <w:rPr>
          <w:rFonts w:asciiTheme="majorHAnsi" w:hAnsiTheme="majorHAnsi"/>
        </w:rPr>
        <w:t xml:space="preserve">initiative </w:t>
      </w:r>
      <w:r w:rsidR="00F43CF7">
        <w:rPr>
          <w:rFonts w:asciiTheme="majorHAnsi" w:hAnsiTheme="majorHAnsi"/>
        </w:rPr>
        <w:t xml:space="preserve">is a </w:t>
      </w:r>
      <w:r w:rsidR="008D16EB">
        <w:rPr>
          <w:rFonts w:asciiTheme="majorHAnsi" w:hAnsiTheme="majorHAnsi"/>
        </w:rPr>
        <w:t>more recent</w:t>
      </w:r>
      <w:r w:rsidR="00F43CF7">
        <w:rPr>
          <w:rFonts w:asciiTheme="majorHAnsi" w:hAnsiTheme="majorHAnsi"/>
        </w:rPr>
        <w:t xml:space="preserve"> HIE initiative hosted by the same advocacy group as the eHealth Exchange</w:t>
      </w:r>
      <w:r w:rsidR="002775DC" w:rsidRPr="002775DC">
        <w:rPr>
          <w:rFonts w:asciiTheme="majorHAnsi" w:hAnsiTheme="majorHAnsi"/>
          <w:vertAlign w:val="superscript"/>
        </w:rPr>
        <w:t>TM</w:t>
      </w:r>
      <w:r w:rsidR="00F43CF7">
        <w:rPr>
          <w:rFonts w:asciiTheme="majorHAnsi" w:hAnsiTheme="majorHAnsi"/>
        </w:rPr>
        <w:t xml:space="preserve"> (</w:t>
      </w:r>
      <w:hyperlink r:id="rId42" w:history="1">
        <w:r w:rsidR="00F43CF7" w:rsidRPr="00F43CF7">
          <w:rPr>
            <w:rStyle w:val="Hyperlink"/>
            <w:rFonts w:asciiTheme="majorHAnsi" w:hAnsiTheme="majorHAnsi"/>
          </w:rPr>
          <w:t>The Sequoia Project</w:t>
        </w:r>
      </w:hyperlink>
      <w:r w:rsidR="00F43CF7">
        <w:rPr>
          <w:rFonts w:asciiTheme="majorHAnsi" w:hAnsiTheme="majorHAnsi"/>
        </w:rPr>
        <w:t xml:space="preserve">). </w:t>
      </w:r>
      <w:r w:rsidR="006821E5">
        <w:rPr>
          <w:rFonts w:asciiTheme="majorHAnsi" w:hAnsiTheme="majorHAnsi"/>
        </w:rPr>
        <w:t>Carequality</w:t>
      </w:r>
      <w:r w:rsidR="006821E5" w:rsidRPr="006821E5">
        <w:rPr>
          <w:rFonts w:asciiTheme="majorHAnsi" w:hAnsiTheme="majorHAnsi"/>
          <w:vertAlign w:val="superscript"/>
        </w:rPr>
        <w:t>®</w:t>
      </w:r>
      <w:r w:rsidR="00F43CF7">
        <w:rPr>
          <w:rFonts w:asciiTheme="majorHAnsi" w:hAnsiTheme="majorHAnsi"/>
        </w:rPr>
        <w:t xml:space="preserve"> is a public-private, multi-stakeholder collaborative which aims to provide data sharing connectivity regardless of geographic or technology lines. </w:t>
      </w:r>
      <w:r w:rsidR="006821E5">
        <w:rPr>
          <w:rFonts w:asciiTheme="majorHAnsi" w:hAnsiTheme="majorHAnsi"/>
        </w:rPr>
        <w:t>Carequality</w:t>
      </w:r>
      <w:r w:rsidR="006821E5" w:rsidRPr="006821E5">
        <w:rPr>
          <w:rFonts w:asciiTheme="majorHAnsi" w:hAnsiTheme="majorHAnsi"/>
          <w:vertAlign w:val="superscript"/>
        </w:rPr>
        <w:t>®</w:t>
      </w:r>
      <w:r w:rsidR="00F43CF7">
        <w:rPr>
          <w:rFonts w:asciiTheme="majorHAnsi" w:hAnsiTheme="majorHAnsi"/>
        </w:rPr>
        <w:t xml:space="preserve"> </w:t>
      </w:r>
      <w:r w:rsidR="007A0A82">
        <w:rPr>
          <w:rFonts w:asciiTheme="majorHAnsi" w:hAnsiTheme="majorHAnsi"/>
        </w:rPr>
        <w:t>will enable networks like the eHealth Exchange to share data under a common network-to-network interoperability framework with providers in different data sharing networks</w:t>
      </w:r>
      <w:r w:rsidR="00D459AC">
        <w:rPr>
          <w:rFonts w:asciiTheme="majorHAnsi" w:hAnsiTheme="majorHAnsi"/>
        </w:rPr>
        <w:t xml:space="preserve">. </w:t>
      </w:r>
      <w:r w:rsidR="006821E5">
        <w:rPr>
          <w:rFonts w:asciiTheme="majorHAnsi" w:hAnsiTheme="majorHAnsi"/>
        </w:rPr>
        <w:t>Carequality</w:t>
      </w:r>
      <w:r w:rsidR="006821E5" w:rsidRPr="006821E5">
        <w:rPr>
          <w:rFonts w:asciiTheme="majorHAnsi" w:hAnsiTheme="majorHAnsi"/>
          <w:vertAlign w:val="superscript"/>
        </w:rPr>
        <w:t>®</w:t>
      </w:r>
      <w:r w:rsidR="00D459AC">
        <w:rPr>
          <w:rFonts w:asciiTheme="majorHAnsi" w:hAnsiTheme="majorHAnsi"/>
        </w:rPr>
        <w:t xml:space="preserve"> also benefits from increased trust in the health care environment compared to the early days of the eHealth Exchange</w:t>
      </w:r>
      <w:r w:rsidR="002775DC" w:rsidRPr="002775DC">
        <w:rPr>
          <w:rFonts w:asciiTheme="majorHAnsi" w:hAnsiTheme="majorHAnsi"/>
          <w:vertAlign w:val="superscript"/>
        </w:rPr>
        <w:t>TM</w:t>
      </w:r>
      <w:r w:rsidR="00D459AC">
        <w:rPr>
          <w:rFonts w:asciiTheme="majorHAnsi" w:hAnsiTheme="majorHAnsi"/>
        </w:rPr>
        <w:t xml:space="preserve">. </w:t>
      </w:r>
    </w:p>
    <w:p w14:paraId="7967FDC7" w14:textId="77777777" w:rsidR="00A61156" w:rsidRDefault="00A61156" w:rsidP="00864145">
      <w:pPr>
        <w:rPr>
          <w:rFonts w:asciiTheme="majorHAnsi" w:hAnsiTheme="majorHAnsi"/>
        </w:rPr>
      </w:pPr>
    </w:p>
    <w:p w14:paraId="77F739B9" w14:textId="6A9B412E" w:rsidR="00605673" w:rsidRDefault="006821E5" w:rsidP="00864145">
      <w:pPr>
        <w:rPr>
          <w:rFonts w:asciiTheme="majorHAnsi" w:hAnsiTheme="majorHAnsi"/>
        </w:rPr>
      </w:pPr>
      <w:r>
        <w:rPr>
          <w:rFonts w:asciiTheme="majorHAnsi" w:hAnsiTheme="majorHAnsi"/>
        </w:rPr>
        <w:t>Carequality</w:t>
      </w:r>
      <w:r w:rsidRPr="006821E5">
        <w:rPr>
          <w:rFonts w:asciiTheme="majorHAnsi" w:hAnsiTheme="majorHAnsi"/>
          <w:vertAlign w:val="superscript"/>
        </w:rPr>
        <w:t>®</w:t>
      </w:r>
      <w:r w:rsidR="00F43CF7">
        <w:rPr>
          <w:rFonts w:asciiTheme="majorHAnsi" w:hAnsiTheme="majorHAnsi"/>
        </w:rPr>
        <w:t xml:space="preserve"> has established a data use agreement built on a model of universal principles applicable to every use case along with customizable principles that differ upon the use case. These </w:t>
      </w:r>
      <w:hyperlink r:id="rId43" w:history="1">
        <w:r w:rsidR="00F43CF7" w:rsidRPr="000B0512">
          <w:rPr>
            <w:rStyle w:val="Hyperlink"/>
            <w:rFonts w:asciiTheme="majorHAnsi" w:hAnsiTheme="majorHAnsi"/>
          </w:rPr>
          <w:t>principles</w:t>
        </w:r>
      </w:hyperlink>
      <w:r w:rsidR="00F43CF7">
        <w:rPr>
          <w:rFonts w:asciiTheme="majorHAnsi" w:hAnsiTheme="majorHAnsi"/>
        </w:rPr>
        <w:t xml:space="preserve"> </w:t>
      </w:r>
      <w:r w:rsidR="001D74E2">
        <w:rPr>
          <w:rFonts w:asciiTheme="majorHAnsi" w:hAnsiTheme="majorHAnsi"/>
        </w:rPr>
        <w:t>are similar to those in</w:t>
      </w:r>
      <w:r w:rsidR="00F43CF7">
        <w:rPr>
          <w:rFonts w:asciiTheme="majorHAnsi" w:hAnsiTheme="majorHAnsi"/>
        </w:rPr>
        <w:t xml:space="preserve"> the eHealth Exchange</w:t>
      </w:r>
      <w:r w:rsidR="002775DC" w:rsidRPr="002775DC">
        <w:rPr>
          <w:rFonts w:asciiTheme="majorHAnsi" w:hAnsiTheme="majorHAnsi"/>
          <w:vertAlign w:val="superscript"/>
        </w:rPr>
        <w:t>TM</w:t>
      </w:r>
      <w:r w:rsidR="00F43CF7">
        <w:rPr>
          <w:rFonts w:asciiTheme="majorHAnsi" w:hAnsiTheme="majorHAnsi"/>
        </w:rPr>
        <w:t xml:space="preserve"> principles</w:t>
      </w:r>
      <w:r w:rsidR="003F3DB3">
        <w:rPr>
          <w:rFonts w:asciiTheme="majorHAnsi" w:hAnsiTheme="majorHAnsi"/>
        </w:rPr>
        <w:t xml:space="preserve"> </w:t>
      </w:r>
      <w:r w:rsidR="00F43CF7">
        <w:rPr>
          <w:rFonts w:asciiTheme="majorHAnsi" w:hAnsiTheme="majorHAnsi"/>
        </w:rPr>
        <w:t xml:space="preserve">with some changes based on lessons learned. For example, the </w:t>
      </w:r>
      <w:r>
        <w:rPr>
          <w:rFonts w:asciiTheme="majorHAnsi" w:hAnsiTheme="majorHAnsi"/>
        </w:rPr>
        <w:t>Carequality</w:t>
      </w:r>
      <w:r w:rsidRPr="006821E5">
        <w:rPr>
          <w:rFonts w:asciiTheme="majorHAnsi" w:hAnsiTheme="majorHAnsi"/>
          <w:vertAlign w:val="superscript"/>
        </w:rPr>
        <w:t>®</w:t>
      </w:r>
      <w:r w:rsidR="00F43CF7">
        <w:rPr>
          <w:rFonts w:asciiTheme="majorHAnsi" w:hAnsiTheme="majorHAnsi"/>
        </w:rPr>
        <w:t xml:space="preserve">’s </w:t>
      </w:r>
      <w:hyperlink r:id="rId44" w:history="1">
        <w:r w:rsidR="00F43CF7" w:rsidRPr="000B0512">
          <w:rPr>
            <w:rStyle w:val="Hyperlink"/>
            <w:rFonts w:asciiTheme="majorHAnsi" w:hAnsiTheme="majorHAnsi"/>
          </w:rPr>
          <w:t>Connected Agreement</w:t>
        </w:r>
      </w:hyperlink>
      <w:r w:rsidR="00F43CF7">
        <w:rPr>
          <w:rFonts w:asciiTheme="majorHAnsi" w:hAnsiTheme="majorHAnsi"/>
        </w:rPr>
        <w:t xml:space="preserve"> (“DURSA” equivalent) requires participants engage in certain cooperative actions prior to using the dispute resolution process to encourage a more collaborative approach to address issues.</w:t>
      </w:r>
      <w:r w:rsidR="00D459AC">
        <w:rPr>
          <w:rFonts w:asciiTheme="majorHAnsi" w:hAnsiTheme="majorHAnsi"/>
        </w:rPr>
        <w:t xml:space="preserve"> The Connected Agreement also recognizes that certain principles need to be present but will differ based on the use case, reflecting a more modular approach with </w:t>
      </w:r>
      <w:r w:rsidR="000B0512">
        <w:rPr>
          <w:rFonts w:asciiTheme="majorHAnsi" w:hAnsiTheme="majorHAnsi"/>
        </w:rPr>
        <w:t>the</w:t>
      </w:r>
      <w:r w:rsidR="00D459AC">
        <w:rPr>
          <w:rFonts w:asciiTheme="majorHAnsi" w:hAnsiTheme="majorHAnsi"/>
        </w:rPr>
        <w:t xml:space="preserve"> Connected Agreement for the universal principles and implementation guides that establish the procedures for specific use cases. To-date </w:t>
      </w:r>
      <w:r>
        <w:rPr>
          <w:rFonts w:asciiTheme="majorHAnsi" w:hAnsiTheme="majorHAnsi"/>
        </w:rPr>
        <w:t>Carequality</w:t>
      </w:r>
      <w:r w:rsidRPr="006821E5">
        <w:rPr>
          <w:rFonts w:asciiTheme="majorHAnsi" w:hAnsiTheme="majorHAnsi"/>
          <w:vertAlign w:val="superscript"/>
        </w:rPr>
        <w:t>®</w:t>
      </w:r>
      <w:r w:rsidR="00D459AC">
        <w:rPr>
          <w:rFonts w:asciiTheme="majorHAnsi" w:hAnsiTheme="majorHAnsi"/>
        </w:rPr>
        <w:t xml:space="preserve">’s only established implementation guide is for a </w:t>
      </w:r>
      <w:hyperlink r:id="rId45" w:history="1">
        <w:r w:rsidR="00D459AC" w:rsidRPr="000B0512">
          <w:rPr>
            <w:rStyle w:val="Hyperlink"/>
            <w:rFonts w:asciiTheme="majorHAnsi" w:hAnsiTheme="majorHAnsi"/>
          </w:rPr>
          <w:t>query-based document exchange use case</w:t>
        </w:r>
      </w:hyperlink>
      <w:r w:rsidR="00D459AC">
        <w:rPr>
          <w:rFonts w:asciiTheme="majorHAnsi" w:hAnsiTheme="majorHAnsi"/>
        </w:rPr>
        <w:t>.</w:t>
      </w:r>
      <w:r w:rsidR="00605673">
        <w:rPr>
          <w:rFonts w:asciiTheme="majorHAnsi" w:hAnsiTheme="majorHAnsi"/>
        </w:rPr>
        <w:t xml:space="preserve"> </w:t>
      </w:r>
    </w:p>
    <w:p w14:paraId="76A79468" w14:textId="77777777" w:rsidR="00C451CD" w:rsidRDefault="00C451CD" w:rsidP="00864145">
      <w:pPr>
        <w:rPr>
          <w:rFonts w:asciiTheme="majorHAnsi" w:hAnsiTheme="majorHAnsi"/>
        </w:rPr>
      </w:pPr>
    </w:p>
    <w:p w14:paraId="15F55EC8" w14:textId="154BE9EA" w:rsidR="00C451CD" w:rsidRDefault="00C451CD" w:rsidP="00864145">
      <w:pPr>
        <w:rPr>
          <w:rFonts w:asciiTheme="majorHAnsi" w:hAnsiTheme="majorHAnsi"/>
        </w:rPr>
      </w:pPr>
      <w:r>
        <w:rPr>
          <w:rFonts w:asciiTheme="majorHAnsi" w:hAnsiTheme="majorHAnsi"/>
        </w:rPr>
        <w:t xml:space="preserve">The </w:t>
      </w:r>
      <w:r w:rsidR="006821E5">
        <w:rPr>
          <w:rFonts w:asciiTheme="majorHAnsi" w:hAnsiTheme="majorHAnsi"/>
        </w:rPr>
        <w:t>Carequality</w:t>
      </w:r>
      <w:r w:rsidR="006821E5" w:rsidRPr="006821E5">
        <w:rPr>
          <w:rFonts w:asciiTheme="majorHAnsi" w:hAnsiTheme="majorHAnsi"/>
          <w:vertAlign w:val="superscript"/>
        </w:rPr>
        <w:t>®</w:t>
      </w:r>
      <w:r>
        <w:rPr>
          <w:rFonts w:asciiTheme="majorHAnsi" w:hAnsiTheme="majorHAnsi"/>
        </w:rPr>
        <w:t xml:space="preserve"> Connected Agreement was developed through a similar multi-party consensus</w:t>
      </w:r>
      <w:r w:rsidR="003719EC">
        <w:rPr>
          <w:rFonts w:asciiTheme="majorHAnsi" w:hAnsiTheme="majorHAnsi"/>
        </w:rPr>
        <w:t>-</w:t>
      </w:r>
      <w:r>
        <w:rPr>
          <w:rFonts w:asciiTheme="majorHAnsi" w:hAnsiTheme="majorHAnsi"/>
        </w:rPr>
        <w:t xml:space="preserve">based process as for the DURSA. </w:t>
      </w:r>
      <w:r w:rsidR="006821E5">
        <w:rPr>
          <w:rFonts w:asciiTheme="majorHAnsi" w:hAnsiTheme="majorHAnsi"/>
        </w:rPr>
        <w:t>Carequality</w:t>
      </w:r>
      <w:r w:rsidR="006821E5" w:rsidRPr="006821E5">
        <w:rPr>
          <w:rFonts w:asciiTheme="majorHAnsi" w:hAnsiTheme="majorHAnsi"/>
          <w:vertAlign w:val="superscript"/>
        </w:rPr>
        <w:t>®</w:t>
      </w:r>
      <w:r>
        <w:rPr>
          <w:rFonts w:asciiTheme="majorHAnsi" w:hAnsiTheme="majorHAnsi"/>
        </w:rPr>
        <w:t xml:space="preserve"> experienced similar challenges in addressing local autonomy (e.g., federated legal system with state laws and regulations in addition to federal laws and regulations). </w:t>
      </w:r>
      <w:r w:rsidR="006821E5">
        <w:rPr>
          <w:rFonts w:asciiTheme="majorHAnsi" w:hAnsiTheme="majorHAnsi"/>
        </w:rPr>
        <w:t>Carequality</w:t>
      </w:r>
      <w:r w:rsidR="006821E5" w:rsidRPr="006821E5">
        <w:rPr>
          <w:rFonts w:asciiTheme="majorHAnsi" w:hAnsiTheme="majorHAnsi"/>
          <w:vertAlign w:val="superscript"/>
        </w:rPr>
        <w:t>®</w:t>
      </w:r>
      <w:r>
        <w:rPr>
          <w:rFonts w:asciiTheme="majorHAnsi" w:hAnsiTheme="majorHAnsi"/>
        </w:rPr>
        <w:t xml:space="preserve"> followed the same approach taken for the eHealth Exchange</w:t>
      </w:r>
      <w:r w:rsidR="002775DC" w:rsidRPr="002775DC">
        <w:rPr>
          <w:rFonts w:asciiTheme="majorHAnsi" w:hAnsiTheme="majorHAnsi"/>
          <w:vertAlign w:val="superscript"/>
        </w:rPr>
        <w:t>TM</w:t>
      </w:r>
      <w:r>
        <w:rPr>
          <w:rFonts w:asciiTheme="majorHAnsi" w:hAnsiTheme="majorHAnsi"/>
        </w:rPr>
        <w:t xml:space="preserve"> in permitting </w:t>
      </w:r>
      <w:r w:rsidR="00BB04BF">
        <w:rPr>
          <w:rFonts w:asciiTheme="majorHAnsi" w:hAnsiTheme="majorHAnsi"/>
        </w:rPr>
        <w:t>local autonomy.</w:t>
      </w:r>
    </w:p>
    <w:p w14:paraId="4FA0DB06" w14:textId="77777777" w:rsidR="00605673" w:rsidRDefault="00605673" w:rsidP="00864145">
      <w:pPr>
        <w:rPr>
          <w:rFonts w:asciiTheme="majorHAnsi" w:hAnsiTheme="majorHAnsi"/>
        </w:rPr>
      </w:pPr>
    </w:p>
    <w:p w14:paraId="651557F9" w14:textId="74BE8C03" w:rsidR="00605673" w:rsidRDefault="006821E5" w:rsidP="00605673">
      <w:pPr>
        <w:rPr>
          <w:rFonts w:asciiTheme="majorHAnsi" w:hAnsiTheme="majorHAnsi"/>
        </w:rPr>
      </w:pPr>
      <w:r>
        <w:rPr>
          <w:rFonts w:asciiTheme="majorHAnsi" w:hAnsiTheme="majorHAnsi"/>
        </w:rPr>
        <w:t>Carequality</w:t>
      </w:r>
      <w:r w:rsidRPr="006821E5">
        <w:rPr>
          <w:rFonts w:asciiTheme="majorHAnsi" w:hAnsiTheme="majorHAnsi"/>
          <w:vertAlign w:val="superscript"/>
        </w:rPr>
        <w:t>®</w:t>
      </w:r>
      <w:r w:rsidR="00605673">
        <w:rPr>
          <w:rFonts w:asciiTheme="majorHAnsi" w:hAnsiTheme="majorHAnsi"/>
        </w:rPr>
        <w:t>’s Universal Principles:</w:t>
      </w:r>
    </w:p>
    <w:p w14:paraId="7EDCCD63" w14:textId="77777777" w:rsidR="00605673" w:rsidRDefault="00605673" w:rsidP="00605673">
      <w:pPr>
        <w:pStyle w:val="ListParagraph"/>
        <w:numPr>
          <w:ilvl w:val="0"/>
          <w:numId w:val="20"/>
        </w:numPr>
        <w:rPr>
          <w:rFonts w:asciiTheme="majorHAnsi" w:hAnsiTheme="majorHAnsi"/>
        </w:rPr>
      </w:pPr>
      <w:r>
        <w:rPr>
          <w:rFonts w:asciiTheme="majorHAnsi" w:hAnsiTheme="majorHAnsi"/>
        </w:rPr>
        <w:t>HIPAA compliance</w:t>
      </w:r>
    </w:p>
    <w:p w14:paraId="77C03850" w14:textId="77777777" w:rsidR="00605673" w:rsidRDefault="00605673" w:rsidP="00605673">
      <w:pPr>
        <w:pStyle w:val="ListParagraph"/>
        <w:numPr>
          <w:ilvl w:val="0"/>
          <w:numId w:val="20"/>
        </w:numPr>
        <w:rPr>
          <w:rFonts w:asciiTheme="majorHAnsi" w:hAnsiTheme="majorHAnsi"/>
        </w:rPr>
      </w:pPr>
      <w:r>
        <w:rPr>
          <w:rFonts w:asciiTheme="majorHAnsi" w:hAnsiTheme="majorHAnsi"/>
        </w:rPr>
        <w:t>Compliance with Implementation Guide for a use case</w:t>
      </w:r>
    </w:p>
    <w:p w14:paraId="243D3DE4" w14:textId="77777777" w:rsidR="00605673" w:rsidRDefault="00605673" w:rsidP="00605673">
      <w:pPr>
        <w:pStyle w:val="ListParagraph"/>
        <w:numPr>
          <w:ilvl w:val="0"/>
          <w:numId w:val="20"/>
        </w:numPr>
        <w:rPr>
          <w:rFonts w:asciiTheme="majorHAnsi" w:hAnsiTheme="majorHAnsi"/>
        </w:rPr>
      </w:pPr>
      <w:r>
        <w:rPr>
          <w:rFonts w:asciiTheme="majorHAnsi" w:hAnsiTheme="majorHAnsi"/>
        </w:rPr>
        <w:t>Non-discrimination</w:t>
      </w:r>
    </w:p>
    <w:p w14:paraId="5C7C0BCC" w14:textId="77777777" w:rsidR="00605673" w:rsidRDefault="00605673" w:rsidP="00605673">
      <w:pPr>
        <w:pStyle w:val="ListParagraph"/>
        <w:numPr>
          <w:ilvl w:val="0"/>
          <w:numId w:val="20"/>
        </w:numPr>
        <w:rPr>
          <w:rFonts w:asciiTheme="majorHAnsi" w:hAnsiTheme="majorHAnsi"/>
        </w:rPr>
      </w:pPr>
      <w:r>
        <w:rPr>
          <w:rFonts w:asciiTheme="majorHAnsi" w:hAnsiTheme="majorHAnsi"/>
        </w:rPr>
        <w:t>Local autonomy</w:t>
      </w:r>
    </w:p>
    <w:p w14:paraId="1DDD8540" w14:textId="77777777" w:rsidR="00605673" w:rsidRDefault="00605673" w:rsidP="00605673">
      <w:pPr>
        <w:pStyle w:val="ListParagraph"/>
        <w:numPr>
          <w:ilvl w:val="0"/>
          <w:numId w:val="20"/>
        </w:numPr>
        <w:rPr>
          <w:rFonts w:asciiTheme="majorHAnsi" w:hAnsiTheme="majorHAnsi"/>
        </w:rPr>
      </w:pPr>
      <w:r>
        <w:rPr>
          <w:rFonts w:asciiTheme="majorHAnsi" w:hAnsiTheme="majorHAnsi"/>
        </w:rPr>
        <w:t>Accountability</w:t>
      </w:r>
    </w:p>
    <w:p w14:paraId="564DB08E" w14:textId="77777777" w:rsidR="00605673" w:rsidRDefault="00605673" w:rsidP="00605673">
      <w:pPr>
        <w:pStyle w:val="ListParagraph"/>
        <w:numPr>
          <w:ilvl w:val="0"/>
          <w:numId w:val="20"/>
        </w:numPr>
        <w:rPr>
          <w:rFonts w:asciiTheme="majorHAnsi" w:hAnsiTheme="majorHAnsi"/>
        </w:rPr>
      </w:pPr>
      <w:r>
        <w:rPr>
          <w:rFonts w:asciiTheme="majorHAnsi" w:hAnsiTheme="majorHAnsi"/>
        </w:rPr>
        <w:t>Cooperation</w:t>
      </w:r>
    </w:p>
    <w:p w14:paraId="7D7B1C49" w14:textId="77777777" w:rsidR="00605673" w:rsidRDefault="00605673" w:rsidP="00605673">
      <w:pPr>
        <w:pStyle w:val="ListParagraph"/>
        <w:numPr>
          <w:ilvl w:val="0"/>
          <w:numId w:val="20"/>
        </w:numPr>
        <w:rPr>
          <w:rFonts w:asciiTheme="majorHAnsi" w:hAnsiTheme="majorHAnsi"/>
        </w:rPr>
      </w:pPr>
      <w:r>
        <w:rPr>
          <w:rFonts w:asciiTheme="majorHAnsi" w:hAnsiTheme="majorHAnsi"/>
        </w:rPr>
        <w:t>Acceptable use</w:t>
      </w:r>
    </w:p>
    <w:p w14:paraId="76F92184" w14:textId="77777777" w:rsidR="00605673" w:rsidRDefault="00605673" w:rsidP="00605673">
      <w:pPr>
        <w:pStyle w:val="ListParagraph"/>
        <w:numPr>
          <w:ilvl w:val="0"/>
          <w:numId w:val="20"/>
        </w:numPr>
        <w:rPr>
          <w:rFonts w:asciiTheme="majorHAnsi" w:hAnsiTheme="majorHAnsi"/>
        </w:rPr>
      </w:pPr>
      <w:r>
        <w:rPr>
          <w:rFonts w:asciiTheme="majorHAnsi" w:hAnsiTheme="majorHAnsi"/>
        </w:rPr>
        <w:t>Universal customer flow downs</w:t>
      </w:r>
    </w:p>
    <w:p w14:paraId="4E87AEAD" w14:textId="77777777" w:rsidR="00605673" w:rsidRDefault="00605673" w:rsidP="00605673">
      <w:pPr>
        <w:pStyle w:val="ListParagraph"/>
        <w:numPr>
          <w:ilvl w:val="0"/>
          <w:numId w:val="20"/>
        </w:numPr>
        <w:rPr>
          <w:rFonts w:asciiTheme="majorHAnsi" w:hAnsiTheme="majorHAnsi"/>
        </w:rPr>
      </w:pPr>
      <w:r>
        <w:rPr>
          <w:rFonts w:asciiTheme="majorHAnsi" w:hAnsiTheme="majorHAnsi"/>
        </w:rPr>
        <w:t>Identity proofing and authentication</w:t>
      </w:r>
    </w:p>
    <w:p w14:paraId="46450813" w14:textId="77777777" w:rsidR="00605673" w:rsidRDefault="00605673" w:rsidP="00605673">
      <w:pPr>
        <w:pStyle w:val="ListParagraph"/>
        <w:numPr>
          <w:ilvl w:val="0"/>
          <w:numId w:val="20"/>
        </w:numPr>
        <w:rPr>
          <w:rFonts w:asciiTheme="majorHAnsi" w:hAnsiTheme="majorHAnsi"/>
        </w:rPr>
      </w:pPr>
      <w:r>
        <w:rPr>
          <w:rFonts w:asciiTheme="majorHAnsi" w:hAnsiTheme="majorHAnsi"/>
        </w:rPr>
        <w:t>Information handling transparency.</w:t>
      </w:r>
    </w:p>
    <w:p w14:paraId="6153A9F3" w14:textId="77777777" w:rsidR="00605673" w:rsidRDefault="00605673" w:rsidP="00605673">
      <w:pPr>
        <w:rPr>
          <w:rFonts w:asciiTheme="majorHAnsi" w:hAnsiTheme="majorHAnsi"/>
        </w:rPr>
      </w:pPr>
    </w:p>
    <w:p w14:paraId="61ABC271" w14:textId="39AB7A7E" w:rsidR="00605673" w:rsidRDefault="006821E5" w:rsidP="00605673">
      <w:pPr>
        <w:rPr>
          <w:rFonts w:asciiTheme="majorHAnsi" w:hAnsiTheme="majorHAnsi"/>
        </w:rPr>
      </w:pPr>
      <w:r>
        <w:rPr>
          <w:rFonts w:asciiTheme="majorHAnsi" w:hAnsiTheme="majorHAnsi"/>
        </w:rPr>
        <w:t>Carequality</w:t>
      </w:r>
      <w:r w:rsidRPr="0096444C">
        <w:rPr>
          <w:rFonts w:asciiTheme="majorHAnsi" w:hAnsiTheme="majorHAnsi"/>
          <w:vertAlign w:val="superscript"/>
        </w:rPr>
        <w:t>®</w:t>
      </w:r>
      <w:r w:rsidR="00605673">
        <w:rPr>
          <w:rFonts w:asciiTheme="majorHAnsi" w:hAnsiTheme="majorHAnsi"/>
        </w:rPr>
        <w:t>’s Customizable Principles (need to be present but will differ based on use case):</w:t>
      </w:r>
    </w:p>
    <w:p w14:paraId="154F49DC" w14:textId="77777777" w:rsidR="00605673" w:rsidRDefault="00605673" w:rsidP="00605673">
      <w:pPr>
        <w:pStyle w:val="ListParagraph"/>
        <w:numPr>
          <w:ilvl w:val="0"/>
          <w:numId w:val="21"/>
        </w:numPr>
        <w:rPr>
          <w:rFonts w:asciiTheme="majorHAnsi" w:hAnsiTheme="majorHAnsi"/>
        </w:rPr>
      </w:pPr>
      <w:r>
        <w:rPr>
          <w:rFonts w:asciiTheme="majorHAnsi" w:hAnsiTheme="majorHAnsi"/>
        </w:rPr>
        <w:t>Permitted purposes</w:t>
      </w:r>
    </w:p>
    <w:p w14:paraId="1DD14A7A" w14:textId="77777777" w:rsidR="00605673" w:rsidRDefault="00605673" w:rsidP="00605673">
      <w:pPr>
        <w:pStyle w:val="ListParagraph"/>
        <w:numPr>
          <w:ilvl w:val="0"/>
          <w:numId w:val="21"/>
        </w:numPr>
        <w:rPr>
          <w:rFonts w:asciiTheme="majorHAnsi" w:hAnsiTheme="majorHAnsi"/>
        </w:rPr>
      </w:pPr>
      <w:r>
        <w:rPr>
          <w:rFonts w:asciiTheme="majorHAnsi" w:hAnsiTheme="majorHAnsi"/>
        </w:rPr>
        <w:t>Permitted users</w:t>
      </w:r>
    </w:p>
    <w:p w14:paraId="0122DDBA" w14:textId="77777777" w:rsidR="00605673" w:rsidRDefault="00605673" w:rsidP="00605673">
      <w:pPr>
        <w:pStyle w:val="ListParagraph"/>
        <w:numPr>
          <w:ilvl w:val="0"/>
          <w:numId w:val="21"/>
        </w:numPr>
        <w:rPr>
          <w:rFonts w:asciiTheme="majorHAnsi" w:hAnsiTheme="majorHAnsi"/>
        </w:rPr>
      </w:pPr>
      <w:r>
        <w:rPr>
          <w:rFonts w:asciiTheme="majorHAnsi" w:hAnsiTheme="majorHAnsi"/>
        </w:rPr>
        <w:t>Full participation</w:t>
      </w:r>
    </w:p>
    <w:p w14:paraId="31A0CCE9" w14:textId="77777777" w:rsidR="00605673" w:rsidRDefault="00605673" w:rsidP="00605673">
      <w:pPr>
        <w:pStyle w:val="ListParagraph"/>
        <w:numPr>
          <w:ilvl w:val="0"/>
          <w:numId w:val="21"/>
        </w:numPr>
        <w:rPr>
          <w:rFonts w:asciiTheme="majorHAnsi" w:hAnsiTheme="majorHAnsi"/>
        </w:rPr>
      </w:pPr>
      <w:r>
        <w:rPr>
          <w:rFonts w:asciiTheme="majorHAnsi" w:hAnsiTheme="majorHAnsi"/>
        </w:rPr>
        <w:t>Service level agreements</w:t>
      </w:r>
    </w:p>
    <w:p w14:paraId="00E1E429" w14:textId="77777777" w:rsidR="00605673" w:rsidRDefault="00605673" w:rsidP="00605673">
      <w:pPr>
        <w:pStyle w:val="ListParagraph"/>
        <w:numPr>
          <w:ilvl w:val="0"/>
          <w:numId w:val="21"/>
        </w:numPr>
        <w:rPr>
          <w:rFonts w:asciiTheme="majorHAnsi" w:hAnsiTheme="majorHAnsi"/>
        </w:rPr>
      </w:pPr>
      <w:r>
        <w:rPr>
          <w:rFonts w:asciiTheme="majorHAnsi" w:hAnsiTheme="majorHAnsi"/>
        </w:rPr>
        <w:t>Data sufficiency and integrity</w:t>
      </w:r>
    </w:p>
    <w:p w14:paraId="74FAABE1" w14:textId="77777777" w:rsidR="00605673" w:rsidRPr="000B0512" w:rsidRDefault="00605673" w:rsidP="00605673">
      <w:pPr>
        <w:pStyle w:val="ListParagraph"/>
        <w:numPr>
          <w:ilvl w:val="0"/>
          <w:numId w:val="21"/>
        </w:numPr>
        <w:rPr>
          <w:rFonts w:asciiTheme="majorHAnsi" w:hAnsiTheme="majorHAnsi"/>
        </w:rPr>
      </w:pPr>
      <w:r>
        <w:rPr>
          <w:rFonts w:asciiTheme="majorHAnsi" w:hAnsiTheme="majorHAnsi"/>
        </w:rPr>
        <w:t>Customizable customer flow downs.</w:t>
      </w:r>
    </w:p>
    <w:p w14:paraId="4015F4C2" w14:textId="77777777" w:rsidR="00605673" w:rsidRDefault="00605673" w:rsidP="00864145">
      <w:pPr>
        <w:rPr>
          <w:rFonts w:asciiTheme="majorHAnsi" w:hAnsiTheme="majorHAnsi"/>
        </w:rPr>
      </w:pPr>
    </w:p>
    <w:p w14:paraId="3DF88F80" w14:textId="758E6E9A" w:rsidR="00C565A1" w:rsidRDefault="006821E5" w:rsidP="00864145">
      <w:pPr>
        <w:rPr>
          <w:rFonts w:asciiTheme="majorHAnsi" w:hAnsiTheme="majorHAnsi"/>
        </w:rPr>
      </w:pPr>
      <w:r>
        <w:rPr>
          <w:rFonts w:asciiTheme="majorHAnsi" w:hAnsiTheme="majorHAnsi"/>
        </w:rPr>
        <w:t>Carequality</w:t>
      </w:r>
      <w:r w:rsidRPr="0096444C">
        <w:rPr>
          <w:rFonts w:asciiTheme="majorHAnsi" w:hAnsiTheme="majorHAnsi"/>
          <w:vertAlign w:val="superscript"/>
        </w:rPr>
        <w:t>®</w:t>
      </w:r>
      <w:r w:rsidR="00605673">
        <w:rPr>
          <w:rFonts w:asciiTheme="majorHAnsi" w:hAnsiTheme="majorHAnsi"/>
        </w:rPr>
        <w:t>’s approach reflects a step-wise progression addressing agreed-upon universal principles that can be applied to further use cases.</w:t>
      </w:r>
      <w:r w:rsidR="00AE3901">
        <w:rPr>
          <w:rFonts w:asciiTheme="majorHAnsi" w:hAnsiTheme="majorHAnsi"/>
        </w:rPr>
        <w:t xml:space="preserve"> The customizable principles need to be present but will differ based on the specific use case.</w:t>
      </w:r>
      <w:r w:rsidR="00605673">
        <w:rPr>
          <w:rFonts w:asciiTheme="majorHAnsi" w:hAnsiTheme="majorHAnsi"/>
        </w:rPr>
        <w:t xml:space="preserve"> This may be a model that other countries may consider for development of their networks and data use agreements.</w:t>
      </w:r>
      <w:r w:rsidR="00742868">
        <w:rPr>
          <w:rFonts w:asciiTheme="majorHAnsi" w:hAnsiTheme="majorHAnsi"/>
        </w:rPr>
        <w:t xml:space="preserve"> While </w:t>
      </w:r>
      <w:r>
        <w:rPr>
          <w:rFonts w:asciiTheme="majorHAnsi" w:hAnsiTheme="majorHAnsi"/>
        </w:rPr>
        <w:t>Carequality</w:t>
      </w:r>
      <w:r w:rsidRPr="0096444C">
        <w:rPr>
          <w:rFonts w:asciiTheme="majorHAnsi" w:hAnsiTheme="majorHAnsi"/>
          <w:vertAlign w:val="superscript"/>
        </w:rPr>
        <w:t>®</w:t>
      </w:r>
      <w:r w:rsidR="00742868">
        <w:rPr>
          <w:rFonts w:asciiTheme="majorHAnsi" w:hAnsiTheme="majorHAnsi"/>
        </w:rPr>
        <w:t xml:space="preserve">’s participants are U.S.-based, the </w:t>
      </w:r>
      <w:r w:rsidR="002C269B">
        <w:rPr>
          <w:rFonts w:asciiTheme="majorHAnsi" w:hAnsiTheme="majorHAnsi"/>
        </w:rPr>
        <w:t>multi-</w:t>
      </w:r>
      <w:r w:rsidR="00742868">
        <w:rPr>
          <w:rFonts w:asciiTheme="majorHAnsi" w:hAnsiTheme="majorHAnsi"/>
        </w:rPr>
        <w:t>network</w:t>
      </w:r>
      <w:r w:rsidR="002C269B">
        <w:rPr>
          <w:rFonts w:asciiTheme="majorHAnsi" w:hAnsiTheme="majorHAnsi"/>
        </w:rPr>
        <w:t xml:space="preserve"> data sharing initiative</w:t>
      </w:r>
      <w:r w:rsidR="00742868">
        <w:rPr>
          <w:rFonts w:asciiTheme="majorHAnsi" w:hAnsiTheme="majorHAnsi"/>
        </w:rPr>
        <w:t xml:space="preserve"> is working with other countries to gauge interest and test applicability of the Connected Agreement in other settings.</w:t>
      </w:r>
    </w:p>
    <w:p w14:paraId="5414D82B" w14:textId="77777777" w:rsidR="0090291C" w:rsidRDefault="0090291C" w:rsidP="00864145">
      <w:pPr>
        <w:rPr>
          <w:rFonts w:asciiTheme="majorHAnsi" w:hAnsiTheme="majorHAnsi"/>
        </w:rPr>
      </w:pPr>
    </w:p>
    <w:p w14:paraId="3EB5C0D7" w14:textId="5342A859" w:rsidR="0090291C" w:rsidRDefault="0090291C" w:rsidP="00864145">
      <w:pPr>
        <w:rPr>
          <w:rFonts w:asciiTheme="majorHAnsi" w:hAnsiTheme="majorHAnsi"/>
          <w:i/>
        </w:rPr>
      </w:pPr>
      <w:r>
        <w:rPr>
          <w:rFonts w:asciiTheme="majorHAnsi" w:hAnsiTheme="majorHAnsi"/>
          <w:i/>
        </w:rPr>
        <w:t>Sources:</w:t>
      </w:r>
    </w:p>
    <w:p w14:paraId="56221C3F" w14:textId="55AC6302" w:rsidR="00B80C7A" w:rsidRDefault="00B80C7A" w:rsidP="00B80C7A">
      <w:pPr>
        <w:rPr>
          <w:rFonts w:asciiTheme="majorHAnsi" w:hAnsiTheme="majorHAnsi"/>
          <w:i/>
        </w:rPr>
      </w:pPr>
      <w:r>
        <w:rPr>
          <w:rFonts w:asciiTheme="majorHAnsi" w:hAnsiTheme="majorHAnsi"/>
          <w:i/>
        </w:rPr>
        <w:t>Dave Cassel, Director, Carequality – An Initiative of the Sequoia Project</w:t>
      </w:r>
    </w:p>
    <w:p w14:paraId="20DCEAA2" w14:textId="77777777" w:rsidR="00B80C7A" w:rsidRPr="0090291C" w:rsidRDefault="00B80C7A" w:rsidP="00B80C7A">
      <w:pPr>
        <w:rPr>
          <w:rFonts w:asciiTheme="majorHAnsi" w:hAnsiTheme="majorHAnsi"/>
          <w:i/>
        </w:rPr>
      </w:pPr>
      <w:r>
        <w:rPr>
          <w:rFonts w:asciiTheme="majorHAnsi" w:hAnsiTheme="majorHAnsi"/>
          <w:i/>
        </w:rPr>
        <w:t>Timothy Cromwell, PhD, Consultant, JP Systems, formerly Director, Standards and Interoperability, U.S. Department of Veterans Affairs</w:t>
      </w:r>
    </w:p>
    <w:p w14:paraId="41920F6E" w14:textId="1B66CBA6" w:rsidR="00661C8B" w:rsidRDefault="00661C8B" w:rsidP="00864145">
      <w:pPr>
        <w:rPr>
          <w:rFonts w:asciiTheme="majorHAnsi" w:hAnsiTheme="majorHAnsi"/>
          <w:i/>
        </w:rPr>
      </w:pPr>
      <w:r>
        <w:rPr>
          <w:rFonts w:asciiTheme="majorHAnsi" w:hAnsiTheme="majorHAnsi"/>
          <w:i/>
        </w:rPr>
        <w:t>Margaret A. Donahue, MD, Director, Veterans Health Information Exchange (VLER Health), Health Informatics/Office of Informatics and Analytics, Veterans Health Administration</w:t>
      </w:r>
    </w:p>
    <w:p w14:paraId="3A2742BD" w14:textId="61207A6B" w:rsidR="00864145" w:rsidRPr="009568A4" w:rsidRDefault="00B80C7A" w:rsidP="0070786E">
      <w:pPr>
        <w:rPr>
          <w:rFonts w:asciiTheme="majorHAnsi" w:hAnsiTheme="majorHAnsi"/>
          <w:b/>
          <w:sz w:val="28"/>
          <w:szCs w:val="28"/>
        </w:rPr>
      </w:pPr>
      <w:r>
        <w:rPr>
          <w:rFonts w:asciiTheme="majorHAnsi" w:hAnsiTheme="majorHAnsi"/>
          <w:i/>
        </w:rPr>
        <w:t>Mariann Yeager, MBA, CEO at The Sequoia Project (formerly Healtheway)</w:t>
      </w:r>
    </w:p>
    <w:p w14:paraId="05656D94" w14:textId="77777777" w:rsidR="003E688F" w:rsidRPr="009568A4" w:rsidRDefault="003E688F" w:rsidP="003E688F">
      <w:pPr>
        <w:jc w:val="center"/>
        <w:rPr>
          <w:rFonts w:asciiTheme="majorHAnsi" w:hAnsiTheme="majorHAnsi"/>
          <w:b/>
          <w:sz w:val="28"/>
          <w:szCs w:val="28"/>
        </w:rPr>
        <w:sectPr w:rsidR="003E688F" w:rsidRPr="009568A4" w:rsidSect="00866F20">
          <w:footnotePr>
            <w:numFmt w:val="lowerLetter"/>
          </w:footnotePr>
          <w:pgSz w:w="12240" w:h="15840"/>
          <w:pgMar w:top="1440" w:right="1440" w:bottom="1440" w:left="1440" w:header="720" w:footer="720" w:gutter="0"/>
          <w:cols w:space="720"/>
          <w:docGrid w:linePitch="360"/>
        </w:sectPr>
      </w:pPr>
    </w:p>
    <w:p w14:paraId="1F297273" w14:textId="77777777" w:rsidR="003E688F" w:rsidRPr="009568A4" w:rsidRDefault="003E688F" w:rsidP="001908E6">
      <w:pPr>
        <w:pStyle w:val="ListParagraph"/>
        <w:numPr>
          <w:ilvl w:val="1"/>
          <w:numId w:val="10"/>
        </w:numPr>
        <w:jc w:val="center"/>
        <w:rPr>
          <w:rFonts w:asciiTheme="majorHAnsi" w:hAnsiTheme="majorHAnsi"/>
          <w:b/>
          <w:sz w:val="28"/>
          <w:szCs w:val="28"/>
        </w:rPr>
      </w:pPr>
      <w:bookmarkStart w:id="19" w:name="_Ref445202012"/>
      <w:r w:rsidRPr="009568A4">
        <w:rPr>
          <w:rFonts w:asciiTheme="majorHAnsi" w:hAnsiTheme="majorHAnsi"/>
          <w:b/>
          <w:sz w:val="28"/>
          <w:szCs w:val="28"/>
        </w:rPr>
        <w:t>Key Area 7: HIE Implementation</w:t>
      </w:r>
      <w:bookmarkEnd w:id="19"/>
    </w:p>
    <w:p w14:paraId="14187BA6" w14:textId="77777777" w:rsidR="003E688F" w:rsidRDefault="003E688F" w:rsidP="003E688F">
      <w:pPr>
        <w:jc w:val="center"/>
        <w:rPr>
          <w:rFonts w:asciiTheme="majorHAnsi" w:hAnsiTheme="majorHAnsi"/>
          <w:b/>
          <w:sz w:val="28"/>
          <w:szCs w:val="28"/>
        </w:rPr>
      </w:pPr>
    </w:p>
    <w:p w14:paraId="0F58AA1F" w14:textId="744044BD" w:rsidR="0078244B" w:rsidRDefault="0078244B" w:rsidP="0078244B">
      <w:pPr>
        <w:rPr>
          <w:rFonts w:asciiTheme="majorHAnsi" w:hAnsiTheme="majorHAnsi"/>
        </w:rPr>
      </w:pPr>
      <w:r>
        <w:rPr>
          <w:rFonts w:asciiTheme="majorHAnsi" w:hAnsiTheme="majorHAnsi"/>
        </w:rPr>
        <w:t xml:space="preserve">While this review focused on policies and procedures for HIE, informants indicated some </w:t>
      </w:r>
      <w:r w:rsidR="00E95358">
        <w:rPr>
          <w:rFonts w:asciiTheme="majorHAnsi" w:hAnsiTheme="majorHAnsi"/>
        </w:rPr>
        <w:t xml:space="preserve">additional </w:t>
      </w:r>
      <w:r>
        <w:rPr>
          <w:rFonts w:asciiTheme="majorHAnsi" w:hAnsiTheme="majorHAnsi"/>
        </w:rPr>
        <w:t xml:space="preserve">key </w:t>
      </w:r>
      <w:r w:rsidR="00E95358">
        <w:rPr>
          <w:rFonts w:asciiTheme="majorHAnsi" w:hAnsiTheme="majorHAnsi"/>
        </w:rPr>
        <w:t xml:space="preserve">factors </w:t>
      </w:r>
      <w:r>
        <w:rPr>
          <w:rFonts w:asciiTheme="majorHAnsi" w:hAnsiTheme="majorHAnsi"/>
        </w:rPr>
        <w:t xml:space="preserve">would influence the success of </w:t>
      </w:r>
      <w:r w:rsidR="008858C7">
        <w:rPr>
          <w:rFonts w:asciiTheme="majorHAnsi" w:hAnsiTheme="majorHAnsi"/>
        </w:rPr>
        <w:t xml:space="preserve">HIE </w:t>
      </w:r>
      <w:r>
        <w:rPr>
          <w:rFonts w:asciiTheme="majorHAnsi" w:hAnsiTheme="majorHAnsi"/>
        </w:rPr>
        <w:t>implementation and sustainability.</w:t>
      </w:r>
      <w:r w:rsidR="009E3B89">
        <w:rPr>
          <w:rFonts w:asciiTheme="majorHAnsi" w:hAnsiTheme="majorHAnsi"/>
        </w:rPr>
        <w:t xml:space="preserve"> Because the review did not focus on these issues, example options are generally unkno</w:t>
      </w:r>
      <w:r w:rsidR="00DE4C74">
        <w:rPr>
          <w:rFonts w:asciiTheme="majorHAnsi" w:hAnsiTheme="majorHAnsi"/>
        </w:rPr>
        <w:t>wn</w:t>
      </w:r>
      <w:r w:rsidR="00E95358">
        <w:rPr>
          <w:rFonts w:asciiTheme="majorHAnsi" w:hAnsiTheme="majorHAnsi"/>
        </w:rPr>
        <w:t xml:space="preserve">; </w:t>
      </w:r>
      <w:r w:rsidR="009E3B89">
        <w:rPr>
          <w:rFonts w:asciiTheme="majorHAnsi" w:hAnsiTheme="majorHAnsi"/>
        </w:rPr>
        <w:t xml:space="preserve">this area </w:t>
      </w:r>
      <w:r w:rsidR="00DE4C74">
        <w:rPr>
          <w:rFonts w:asciiTheme="majorHAnsi" w:hAnsiTheme="majorHAnsi"/>
        </w:rPr>
        <w:t>i</w:t>
      </w:r>
      <w:r w:rsidR="009E3B89">
        <w:rPr>
          <w:rFonts w:asciiTheme="majorHAnsi" w:hAnsiTheme="majorHAnsi"/>
        </w:rPr>
        <w:t xml:space="preserve">s a gap for further research </w:t>
      </w:r>
      <w:r w:rsidR="001A2141">
        <w:rPr>
          <w:rFonts w:asciiTheme="majorHAnsi" w:hAnsiTheme="majorHAnsi"/>
        </w:rPr>
        <w:t>and/</w:t>
      </w:r>
      <w:r w:rsidR="009E3B89">
        <w:rPr>
          <w:rFonts w:asciiTheme="majorHAnsi" w:hAnsiTheme="majorHAnsi"/>
        </w:rPr>
        <w:t>or fact-finding.</w:t>
      </w:r>
    </w:p>
    <w:p w14:paraId="57831604" w14:textId="77777777" w:rsidR="0078244B" w:rsidRPr="0078244B" w:rsidRDefault="0078244B" w:rsidP="0078244B">
      <w:pPr>
        <w:rPr>
          <w:rFonts w:asciiTheme="majorHAnsi" w:hAnsiTheme="majorHAnsi"/>
        </w:rPr>
      </w:pPr>
    </w:p>
    <w:tbl>
      <w:tblPr>
        <w:tblStyle w:val="LightGrid-Accent1"/>
        <w:tblW w:w="0" w:type="auto"/>
        <w:tblLayout w:type="fixed"/>
        <w:tblLook w:val="04A0" w:firstRow="1" w:lastRow="0" w:firstColumn="1" w:lastColumn="0" w:noHBand="0" w:noVBand="1"/>
      </w:tblPr>
      <w:tblGrid>
        <w:gridCol w:w="1458"/>
        <w:gridCol w:w="3330"/>
        <w:gridCol w:w="4230"/>
        <w:gridCol w:w="1800"/>
        <w:gridCol w:w="2358"/>
      </w:tblGrid>
      <w:tr w:rsidR="00BF0FD1" w:rsidRPr="00E420E8" w14:paraId="43B2167D" w14:textId="77777777" w:rsidTr="00E420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8" w:type="dxa"/>
          </w:tcPr>
          <w:p w14:paraId="0A4C48EE" w14:textId="77777777" w:rsidR="00222DC1" w:rsidRPr="00E420E8" w:rsidRDefault="00222DC1" w:rsidP="00D51A5C">
            <w:pPr>
              <w:jc w:val="center"/>
            </w:pPr>
            <w:r w:rsidRPr="00E420E8">
              <w:t>Theme</w:t>
            </w:r>
          </w:p>
        </w:tc>
        <w:tc>
          <w:tcPr>
            <w:tcW w:w="3330" w:type="dxa"/>
          </w:tcPr>
          <w:p w14:paraId="2B9679BA" w14:textId="07229960" w:rsidR="00222DC1" w:rsidRPr="00E420E8" w:rsidRDefault="009D2B27" w:rsidP="00D51A5C">
            <w:pPr>
              <w:jc w:val="center"/>
              <w:cnfStyle w:val="100000000000" w:firstRow="1" w:lastRow="0" w:firstColumn="0" w:lastColumn="0" w:oddVBand="0" w:evenVBand="0" w:oddHBand="0" w:evenHBand="0" w:firstRowFirstColumn="0" w:firstRowLastColumn="0" w:lastRowFirstColumn="0" w:lastRowLastColumn="0"/>
            </w:pPr>
            <w:r w:rsidRPr="00E420E8">
              <w:t xml:space="preserve">Exemplar </w:t>
            </w:r>
            <w:r w:rsidR="00222DC1" w:rsidRPr="00E420E8">
              <w:t>Question/Decision Point(s)</w:t>
            </w:r>
          </w:p>
        </w:tc>
        <w:tc>
          <w:tcPr>
            <w:tcW w:w="4230" w:type="dxa"/>
          </w:tcPr>
          <w:p w14:paraId="46C88EF0" w14:textId="77777777" w:rsidR="00222DC1" w:rsidRPr="00E420E8"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E420E8">
              <w:t>Example Option</w:t>
            </w:r>
          </w:p>
        </w:tc>
        <w:tc>
          <w:tcPr>
            <w:tcW w:w="1800" w:type="dxa"/>
          </w:tcPr>
          <w:p w14:paraId="17207A23" w14:textId="236FC717" w:rsidR="00222DC1" w:rsidRPr="00E420E8"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E420E8">
              <w:t>Where Implemented or Planned</w:t>
            </w:r>
            <w:r w:rsidR="004C3278">
              <w:rPr>
                <w:rStyle w:val="FootnoteReference"/>
              </w:rPr>
              <w:footnoteReference w:id="16"/>
            </w:r>
          </w:p>
        </w:tc>
        <w:tc>
          <w:tcPr>
            <w:tcW w:w="2358" w:type="dxa"/>
          </w:tcPr>
          <w:p w14:paraId="53FA483C" w14:textId="77777777" w:rsidR="00222DC1" w:rsidRPr="00E420E8" w:rsidRDefault="00222DC1" w:rsidP="00D51A5C">
            <w:pPr>
              <w:jc w:val="center"/>
              <w:cnfStyle w:val="100000000000" w:firstRow="1" w:lastRow="0" w:firstColumn="0" w:lastColumn="0" w:oddVBand="0" w:evenVBand="0" w:oddHBand="0" w:evenHBand="0" w:firstRowFirstColumn="0" w:firstRowLastColumn="0" w:lastRowFirstColumn="0" w:lastRowLastColumn="0"/>
            </w:pPr>
            <w:r w:rsidRPr="00E420E8">
              <w:t>Digital Development Principle(s)</w:t>
            </w:r>
          </w:p>
        </w:tc>
      </w:tr>
      <w:tr w:rsidR="00BF0FD1" w:rsidRPr="001B0FA3" w14:paraId="77D5F930" w14:textId="77777777" w:rsidTr="00E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00147FF4" w14:textId="49A36A1A" w:rsidR="0035555E" w:rsidRPr="001B0FA3" w:rsidRDefault="00D30BD6" w:rsidP="0001405E">
            <w:r>
              <w:t>Infrastructure</w:t>
            </w:r>
          </w:p>
        </w:tc>
        <w:tc>
          <w:tcPr>
            <w:tcW w:w="3330" w:type="dxa"/>
          </w:tcPr>
          <w:p w14:paraId="2D7D6E9C" w14:textId="26E476BD" w:rsidR="0035555E" w:rsidRPr="001B0FA3" w:rsidRDefault="00D30BD6"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How will system infrastructure be developed, sustained, financed, and expanded?</w:t>
            </w:r>
          </w:p>
        </w:tc>
        <w:tc>
          <w:tcPr>
            <w:tcW w:w="4230" w:type="dxa"/>
          </w:tcPr>
          <w:p w14:paraId="40092EA4" w14:textId="148BC13E" w:rsidR="0035555E" w:rsidRPr="001B0FA3" w:rsidRDefault="00535F0D" w:rsidP="005A12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While </w:t>
            </w:r>
            <w:r w:rsidR="00114734">
              <w:rPr>
                <w:rFonts w:asciiTheme="majorHAnsi" w:hAnsiTheme="majorHAnsi"/>
              </w:rPr>
              <w:t>most</w:t>
            </w:r>
            <w:r>
              <w:rPr>
                <w:rFonts w:asciiTheme="majorHAnsi" w:hAnsiTheme="majorHAnsi"/>
              </w:rPr>
              <w:t xml:space="preserve"> projects in </w:t>
            </w:r>
            <w:r w:rsidR="005A127C">
              <w:rPr>
                <w:rFonts w:asciiTheme="majorHAnsi" w:hAnsiTheme="majorHAnsi"/>
              </w:rPr>
              <w:t xml:space="preserve">this country </w:t>
            </w:r>
            <w:r>
              <w:rPr>
                <w:rFonts w:asciiTheme="majorHAnsi" w:hAnsiTheme="majorHAnsi"/>
              </w:rPr>
              <w:t xml:space="preserve">are funded by donors, the MoH </w:t>
            </w:r>
            <w:r w:rsidR="00114734">
              <w:rPr>
                <w:rFonts w:asciiTheme="majorHAnsi" w:hAnsiTheme="majorHAnsi"/>
              </w:rPr>
              <w:t>set up an M&amp;E task force that focuses on making strategic decisions to influence donors to invest in integrated HIS toward a single common architecture.</w:t>
            </w:r>
          </w:p>
        </w:tc>
        <w:tc>
          <w:tcPr>
            <w:tcW w:w="1800" w:type="dxa"/>
          </w:tcPr>
          <w:p w14:paraId="3B4F1422" w14:textId="50811873" w:rsidR="0035555E" w:rsidRPr="001B0FA3" w:rsidRDefault="005A127C"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Africa</w:t>
            </w:r>
          </w:p>
        </w:tc>
        <w:tc>
          <w:tcPr>
            <w:tcW w:w="2358" w:type="dxa"/>
          </w:tcPr>
          <w:p w14:paraId="63C42BEC" w14:textId="78EFD02D" w:rsidR="0035555E" w:rsidRPr="001B0FA3" w:rsidRDefault="00DE3A9B"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E3A9B">
              <w:rPr>
                <w:rFonts w:asciiTheme="majorHAnsi" w:hAnsiTheme="majorHAnsi"/>
              </w:rPr>
              <w:t>Design for scale; Build for sustainability; Reuse and Improve</w:t>
            </w:r>
          </w:p>
        </w:tc>
      </w:tr>
      <w:tr w:rsidR="00BF0FD1" w:rsidRPr="001B0FA3" w14:paraId="78E55779" w14:textId="77777777" w:rsidTr="00E42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A611E33" w14:textId="1450D340" w:rsidR="00D30BD6" w:rsidRDefault="00D30BD6" w:rsidP="0001405E">
            <w:r>
              <w:t>Training</w:t>
            </w:r>
          </w:p>
        </w:tc>
        <w:tc>
          <w:tcPr>
            <w:tcW w:w="3330" w:type="dxa"/>
          </w:tcPr>
          <w:p w14:paraId="5AD076A6" w14:textId="12AC11B3" w:rsidR="00D30BD6" w:rsidRPr="001B0FA3" w:rsidRDefault="001521D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How will users and participants at all levels of the system be trained?</w:t>
            </w:r>
          </w:p>
        </w:tc>
        <w:tc>
          <w:tcPr>
            <w:tcW w:w="4230" w:type="dxa"/>
          </w:tcPr>
          <w:p w14:paraId="0A649C45" w14:textId="495A6578" w:rsidR="00D30BD6" w:rsidRPr="001B0FA3" w:rsidRDefault="002853A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Review did not focus on this issue</w:t>
            </w:r>
          </w:p>
        </w:tc>
        <w:tc>
          <w:tcPr>
            <w:tcW w:w="1800" w:type="dxa"/>
          </w:tcPr>
          <w:p w14:paraId="50CBAE00" w14:textId="2BF398B8" w:rsidR="00D30BD6" w:rsidRPr="001B0FA3" w:rsidRDefault="002853A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NA</w:t>
            </w:r>
          </w:p>
        </w:tc>
        <w:tc>
          <w:tcPr>
            <w:tcW w:w="2358" w:type="dxa"/>
          </w:tcPr>
          <w:p w14:paraId="30DF12EA" w14:textId="1AB4C193" w:rsidR="00D30BD6" w:rsidRPr="001B0FA3" w:rsidRDefault="001521D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521D5">
              <w:rPr>
                <w:rFonts w:asciiTheme="majorHAnsi" w:hAnsiTheme="majorHAnsi"/>
              </w:rPr>
              <w:t>Design for scale; Build for sustainability; Be collaborative</w:t>
            </w:r>
          </w:p>
        </w:tc>
      </w:tr>
      <w:tr w:rsidR="00BF0FD1" w:rsidRPr="001B0FA3" w14:paraId="78F72DA9" w14:textId="77777777" w:rsidTr="00E42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1F6433A1" w14:textId="7BC4FBC3" w:rsidR="002853A5" w:rsidRDefault="002853A5" w:rsidP="0001405E">
            <w:r>
              <w:t>Consistent Processes</w:t>
            </w:r>
          </w:p>
        </w:tc>
        <w:tc>
          <w:tcPr>
            <w:tcW w:w="3330" w:type="dxa"/>
          </w:tcPr>
          <w:p w14:paraId="621D763C" w14:textId="383E0BDB" w:rsidR="002853A5" w:rsidRPr="001B0FA3" w:rsidRDefault="002853A5"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How will consistent processes be established</w:t>
            </w:r>
            <w:r w:rsidR="00E95358">
              <w:rPr>
                <w:rFonts w:asciiTheme="majorHAnsi" w:hAnsiTheme="majorHAnsi"/>
              </w:rPr>
              <w:t xml:space="preserve"> and implemented</w:t>
            </w:r>
            <w:r>
              <w:rPr>
                <w:rFonts w:asciiTheme="majorHAnsi" w:hAnsiTheme="majorHAnsi"/>
              </w:rPr>
              <w:t xml:space="preserve"> (e.g., patient registration, patient match)?</w:t>
            </w:r>
          </w:p>
        </w:tc>
        <w:tc>
          <w:tcPr>
            <w:tcW w:w="4230" w:type="dxa"/>
          </w:tcPr>
          <w:p w14:paraId="1F4DD854" w14:textId="65425B58" w:rsidR="002853A5" w:rsidRPr="001B0FA3" w:rsidRDefault="002853A5"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Review did not focus on this issue (refer to Key Area #3 for patient identification/match)</w:t>
            </w:r>
          </w:p>
        </w:tc>
        <w:tc>
          <w:tcPr>
            <w:tcW w:w="1800" w:type="dxa"/>
          </w:tcPr>
          <w:p w14:paraId="0870E403" w14:textId="748A3760" w:rsidR="002853A5" w:rsidRPr="001B0FA3" w:rsidRDefault="002853A5"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NA</w:t>
            </w:r>
          </w:p>
        </w:tc>
        <w:tc>
          <w:tcPr>
            <w:tcW w:w="2358" w:type="dxa"/>
          </w:tcPr>
          <w:p w14:paraId="6DE8043B" w14:textId="19861A58" w:rsidR="002853A5" w:rsidRPr="001B0FA3" w:rsidRDefault="002853A5"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521D5">
              <w:rPr>
                <w:rFonts w:asciiTheme="majorHAnsi" w:hAnsiTheme="majorHAnsi"/>
              </w:rPr>
              <w:t>Design with the user; Design for scale; Be collaborative</w:t>
            </w:r>
          </w:p>
        </w:tc>
      </w:tr>
      <w:tr w:rsidR="00BF0FD1" w:rsidRPr="001B0FA3" w14:paraId="09942B61" w14:textId="77777777" w:rsidTr="00E42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17B7B7A9" w14:textId="4EFB6CE9" w:rsidR="002853A5" w:rsidRDefault="002853A5" w:rsidP="0001405E">
            <w:r>
              <w:t>Monitoring and Evaluation</w:t>
            </w:r>
          </w:p>
        </w:tc>
        <w:tc>
          <w:tcPr>
            <w:tcW w:w="3330" w:type="dxa"/>
          </w:tcPr>
          <w:p w14:paraId="7E0D8098" w14:textId="0762E4F7" w:rsidR="002853A5" w:rsidRPr="001B0FA3" w:rsidRDefault="002853A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How will performance and success be measured? Will data be collected from use of the network to inform performance measures?</w:t>
            </w:r>
          </w:p>
        </w:tc>
        <w:tc>
          <w:tcPr>
            <w:tcW w:w="4230" w:type="dxa"/>
          </w:tcPr>
          <w:p w14:paraId="670B3BE1" w14:textId="74F36C26" w:rsidR="002853A5" w:rsidRPr="001B0FA3" w:rsidRDefault="002853A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Review did not focus on this issue</w:t>
            </w:r>
          </w:p>
        </w:tc>
        <w:tc>
          <w:tcPr>
            <w:tcW w:w="1800" w:type="dxa"/>
          </w:tcPr>
          <w:p w14:paraId="35051FE6" w14:textId="3988F3DA" w:rsidR="002853A5" w:rsidRPr="001B0FA3" w:rsidRDefault="002853A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NA</w:t>
            </w:r>
          </w:p>
        </w:tc>
        <w:tc>
          <w:tcPr>
            <w:tcW w:w="2358" w:type="dxa"/>
          </w:tcPr>
          <w:p w14:paraId="20A58962" w14:textId="668F62CD" w:rsidR="002853A5" w:rsidRPr="001B0FA3" w:rsidRDefault="002853A5"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521D5">
              <w:rPr>
                <w:rFonts w:asciiTheme="majorHAnsi" w:hAnsiTheme="majorHAnsi"/>
              </w:rPr>
              <w:t>Design for scale; Be data driven; Use open data/</w:t>
            </w:r>
            <w:r>
              <w:rPr>
                <w:rFonts w:asciiTheme="majorHAnsi" w:hAnsiTheme="majorHAnsi"/>
              </w:rPr>
              <w:t xml:space="preserve"> </w:t>
            </w:r>
            <w:r w:rsidRPr="001521D5">
              <w:rPr>
                <w:rFonts w:asciiTheme="majorHAnsi" w:hAnsiTheme="majorHAnsi"/>
              </w:rPr>
              <w:t>standards/</w:t>
            </w:r>
            <w:r>
              <w:rPr>
                <w:rFonts w:asciiTheme="majorHAnsi" w:hAnsiTheme="majorHAnsi"/>
              </w:rPr>
              <w:t xml:space="preserve"> </w:t>
            </w:r>
            <w:r w:rsidRPr="001521D5">
              <w:rPr>
                <w:rFonts w:asciiTheme="majorHAnsi" w:hAnsiTheme="majorHAnsi"/>
              </w:rPr>
              <w:t>source/</w:t>
            </w:r>
            <w:r>
              <w:rPr>
                <w:rFonts w:asciiTheme="majorHAnsi" w:hAnsiTheme="majorHAnsi"/>
              </w:rPr>
              <w:t xml:space="preserve"> </w:t>
            </w:r>
            <w:r w:rsidRPr="001521D5">
              <w:rPr>
                <w:rFonts w:asciiTheme="majorHAnsi" w:hAnsiTheme="majorHAnsi"/>
              </w:rPr>
              <w:t>innovation</w:t>
            </w:r>
          </w:p>
        </w:tc>
      </w:tr>
      <w:tr w:rsidR="007E14DF" w:rsidRPr="001B0FA3" w14:paraId="63647402" w14:textId="77777777" w:rsidTr="00E420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38E4EB5D" w14:textId="1FC36AC9" w:rsidR="007E14DF" w:rsidRDefault="007E14DF" w:rsidP="0001405E">
            <w:r>
              <w:t>Supportive Services</w:t>
            </w:r>
          </w:p>
        </w:tc>
        <w:tc>
          <w:tcPr>
            <w:tcW w:w="3330" w:type="dxa"/>
            <w:vMerge w:val="restart"/>
          </w:tcPr>
          <w:p w14:paraId="412611AF" w14:textId="77F69C10" w:rsidR="007E14DF" w:rsidRPr="001B0FA3" w:rsidRDefault="007E14DF"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Will support services like record locators and provider directories be implemented?</w:t>
            </w:r>
          </w:p>
        </w:tc>
        <w:tc>
          <w:tcPr>
            <w:tcW w:w="4230" w:type="dxa"/>
          </w:tcPr>
          <w:p w14:paraId="6C813CE4" w14:textId="0393E513" w:rsidR="007E14DF" w:rsidRPr="001B0FA3" w:rsidRDefault="00EA397E"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One agency </w:t>
            </w:r>
            <w:r w:rsidR="007E14DF">
              <w:rPr>
                <w:rFonts w:asciiTheme="majorHAnsi" w:hAnsiTheme="majorHAnsi"/>
              </w:rPr>
              <w:t>uses a record locator service in its HIE network</w:t>
            </w:r>
          </w:p>
        </w:tc>
        <w:tc>
          <w:tcPr>
            <w:tcW w:w="1800" w:type="dxa"/>
          </w:tcPr>
          <w:p w14:paraId="3509DA42" w14:textId="4A3BBF27" w:rsidR="007E14DF" w:rsidRPr="001B0FA3" w:rsidRDefault="00EA397E"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North America</w:t>
            </w:r>
          </w:p>
        </w:tc>
        <w:tc>
          <w:tcPr>
            <w:tcW w:w="2358" w:type="dxa"/>
            <w:vMerge w:val="restart"/>
          </w:tcPr>
          <w:p w14:paraId="5606F150" w14:textId="0D4B2901" w:rsidR="007E14DF" w:rsidRPr="001B0FA3" w:rsidRDefault="007E14DF" w:rsidP="000140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56CBB">
              <w:rPr>
                <w:rFonts w:asciiTheme="majorHAnsi" w:hAnsiTheme="majorHAnsi"/>
              </w:rPr>
              <w:t>Design for scale</w:t>
            </w:r>
            <w:r>
              <w:rPr>
                <w:rFonts w:asciiTheme="majorHAnsi" w:hAnsiTheme="majorHAnsi"/>
              </w:rPr>
              <w:t>, Design with the user</w:t>
            </w:r>
          </w:p>
        </w:tc>
      </w:tr>
      <w:tr w:rsidR="007E14DF" w:rsidRPr="001B0FA3" w14:paraId="571663AA" w14:textId="77777777" w:rsidTr="00E420E8">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58" w:type="dxa"/>
            <w:vMerge/>
          </w:tcPr>
          <w:p w14:paraId="41713B6B" w14:textId="77777777" w:rsidR="007E14DF" w:rsidRDefault="007E14DF" w:rsidP="0001405E"/>
        </w:tc>
        <w:tc>
          <w:tcPr>
            <w:tcW w:w="3330" w:type="dxa"/>
            <w:vMerge/>
          </w:tcPr>
          <w:p w14:paraId="30016139" w14:textId="77777777" w:rsidR="007E14DF" w:rsidRDefault="007E14DF"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230" w:type="dxa"/>
          </w:tcPr>
          <w:p w14:paraId="3FFB8A05" w14:textId="5C953258" w:rsidR="007E14DF" w:rsidRDefault="007E14DF"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Provider directories used in many HIE networks</w:t>
            </w:r>
          </w:p>
        </w:tc>
        <w:tc>
          <w:tcPr>
            <w:tcW w:w="1800" w:type="dxa"/>
          </w:tcPr>
          <w:p w14:paraId="2FEAB224" w14:textId="7121112F" w:rsidR="007E14DF" w:rsidRDefault="00EA397E"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North America</w:t>
            </w:r>
          </w:p>
        </w:tc>
        <w:tc>
          <w:tcPr>
            <w:tcW w:w="2358" w:type="dxa"/>
            <w:vMerge/>
          </w:tcPr>
          <w:p w14:paraId="59C0DE20" w14:textId="77777777" w:rsidR="007E14DF" w:rsidRPr="00056CBB" w:rsidRDefault="007E14DF" w:rsidP="0001405E">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31D2C382" w14:textId="77777777" w:rsidR="003E688F" w:rsidRDefault="003E688F" w:rsidP="003E688F">
      <w:pPr>
        <w:jc w:val="center"/>
        <w:rPr>
          <w:rFonts w:asciiTheme="majorHAnsi" w:hAnsiTheme="majorHAnsi"/>
          <w:b/>
          <w:sz w:val="28"/>
          <w:szCs w:val="28"/>
        </w:rPr>
        <w:sectPr w:rsidR="003E688F" w:rsidSect="00922F78">
          <w:footnotePr>
            <w:numFmt w:val="lowerLetter"/>
          </w:footnotePr>
          <w:pgSz w:w="15840" w:h="12240" w:orient="landscape"/>
          <w:pgMar w:top="1440" w:right="1440" w:bottom="1440" w:left="1440" w:header="720" w:footer="720" w:gutter="0"/>
          <w:cols w:space="720"/>
          <w:docGrid w:linePitch="360"/>
        </w:sectPr>
      </w:pPr>
    </w:p>
    <w:p w14:paraId="7DA31FA0" w14:textId="77777777" w:rsidR="003E688F" w:rsidRPr="00C624DD" w:rsidRDefault="003E688F" w:rsidP="00B1394A">
      <w:pPr>
        <w:pStyle w:val="ListParagraph"/>
        <w:numPr>
          <w:ilvl w:val="0"/>
          <w:numId w:val="30"/>
        </w:numPr>
        <w:jc w:val="center"/>
        <w:rPr>
          <w:rFonts w:asciiTheme="majorHAnsi" w:hAnsiTheme="majorHAnsi"/>
          <w:b/>
          <w:sz w:val="28"/>
          <w:szCs w:val="28"/>
        </w:rPr>
      </w:pPr>
      <w:bookmarkStart w:id="20" w:name="_Ref445202021"/>
      <w:r w:rsidRPr="00C624DD">
        <w:rPr>
          <w:rFonts w:asciiTheme="majorHAnsi" w:hAnsiTheme="majorHAnsi"/>
          <w:b/>
          <w:sz w:val="28"/>
          <w:szCs w:val="28"/>
        </w:rPr>
        <w:t>Identified HIE Challenges</w:t>
      </w:r>
      <w:bookmarkEnd w:id="20"/>
    </w:p>
    <w:p w14:paraId="42DED442" w14:textId="77777777" w:rsidR="00082159" w:rsidRDefault="00082159" w:rsidP="00082159">
      <w:pPr>
        <w:rPr>
          <w:rFonts w:asciiTheme="majorHAnsi" w:hAnsiTheme="majorHAnsi"/>
          <w:b/>
          <w:sz w:val="28"/>
          <w:szCs w:val="28"/>
        </w:rPr>
      </w:pPr>
    </w:p>
    <w:p w14:paraId="7981C256" w14:textId="711620CC" w:rsidR="00082159" w:rsidRDefault="00082159" w:rsidP="001620D1">
      <w:pPr>
        <w:rPr>
          <w:rFonts w:asciiTheme="majorHAnsi" w:hAnsiTheme="majorHAnsi"/>
        </w:rPr>
      </w:pPr>
      <w:r>
        <w:rPr>
          <w:rFonts w:asciiTheme="majorHAnsi" w:hAnsiTheme="majorHAnsi"/>
        </w:rPr>
        <w:t>This chapter culls together the challenges to HIE and interoperability</w:t>
      </w:r>
      <w:r w:rsidR="00380501">
        <w:rPr>
          <w:rFonts w:asciiTheme="majorHAnsi" w:hAnsiTheme="majorHAnsi"/>
        </w:rPr>
        <w:t xml:space="preserve"> identified in th</w:t>
      </w:r>
      <w:r w:rsidR="00E95358">
        <w:rPr>
          <w:rFonts w:asciiTheme="majorHAnsi" w:hAnsiTheme="majorHAnsi"/>
        </w:rPr>
        <w:t>is</w:t>
      </w:r>
      <w:r w:rsidR="00380501">
        <w:rPr>
          <w:rFonts w:asciiTheme="majorHAnsi" w:hAnsiTheme="majorHAnsi"/>
        </w:rPr>
        <w:t xml:space="preserve"> review</w:t>
      </w:r>
      <w:r w:rsidR="00E95358">
        <w:rPr>
          <w:rFonts w:asciiTheme="majorHAnsi" w:hAnsiTheme="majorHAnsi"/>
        </w:rPr>
        <w:t xml:space="preserve"> and</w:t>
      </w:r>
      <w:r>
        <w:rPr>
          <w:rFonts w:asciiTheme="majorHAnsi" w:hAnsiTheme="majorHAnsi"/>
        </w:rPr>
        <w:t xml:space="preserve"> </w:t>
      </w:r>
      <w:r w:rsidR="00992448">
        <w:rPr>
          <w:rFonts w:asciiTheme="majorHAnsi" w:hAnsiTheme="majorHAnsi"/>
        </w:rPr>
        <w:t>grouped by</w:t>
      </w:r>
      <w:r>
        <w:rPr>
          <w:rFonts w:asciiTheme="majorHAnsi" w:hAnsiTheme="majorHAnsi"/>
        </w:rPr>
        <w:t xml:space="preserve"> the </w:t>
      </w:r>
      <w:r w:rsidR="00B87E4E">
        <w:rPr>
          <w:rFonts w:asciiTheme="majorHAnsi" w:hAnsiTheme="majorHAnsi"/>
        </w:rPr>
        <w:t xml:space="preserve">framework </w:t>
      </w:r>
      <w:r>
        <w:rPr>
          <w:rFonts w:asciiTheme="majorHAnsi" w:hAnsiTheme="majorHAnsi"/>
        </w:rPr>
        <w:t xml:space="preserve">Key Areas. As applicable, the challenges include commentary about how country decisions may differ based on the government structure, culture, </w:t>
      </w:r>
      <w:r w:rsidR="00513069">
        <w:rPr>
          <w:rFonts w:asciiTheme="majorHAnsi" w:hAnsiTheme="majorHAnsi"/>
        </w:rPr>
        <w:t xml:space="preserve">and </w:t>
      </w:r>
      <w:r>
        <w:rPr>
          <w:rFonts w:asciiTheme="majorHAnsi" w:hAnsiTheme="majorHAnsi"/>
        </w:rPr>
        <w:t>funding issues</w:t>
      </w:r>
      <w:r w:rsidR="00513069">
        <w:rPr>
          <w:rFonts w:asciiTheme="majorHAnsi" w:hAnsiTheme="majorHAnsi"/>
        </w:rPr>
        <w:t>, as well as other lessons learned</w:t>
      </w:r>
      <w:r>
        <w:rPr>
          <w:rFonts w:asciiTheme="majorHAnsi" w:hAnsiTheme="majorHAnsi"/>
        </w:rPr>
        <w:t>.</w:t>
      </w:r>
    </w:p>
    <w:p w14:paraId="5FFD9041" w14:textId="77777777" w:rsidR="00082159" w:rsidRDefault="00082159" w:rsidP="001620D1">
      <w:pPr>
        <w:rPr>
          <w:rFonts w:asciiTheme="majorHAnsi" w:hAnsiTheme="majorHAnsi"/>
        </w:rPr>
      </w:pPr>
    </w:p>
    <w:p w14:paraId="5F5136E6" w14:textId="77777777" w:rsidR="00082159" w:rsidRPr="00CC7A31" w:rsidRDefault="00082159" w:rsidP="00F569D3">
      <w:pPr>
        <w:spacing w:after="120"/>
        <w:rPr>
          <w:rFonts w:asciiTheme="majorHAnsi" w:hAnsiTheme="majorHAnsi"/>
          <w:b/>
        </w:rPr>
      </w:pPr>
      <w:r w:rsidRPr="00CC7A31">
        <w:rPr>
          <w:rFonts w:asciiTheme="majorHAnsi" w:hAnsiTheme="majorHAnsi"/>
          <w:b/>
        </w:rPr>
        <w:t>Key Area 1: Vision &amp; Strategy</w:t>
      </w:r>
    </w:p>
    <w:p w14:paraId="49B3F17E" w14:textId="73DB8866" w:rsidR="00082159" w:rsidRDefault="00082159" w:rsidP="00082159">
      <w:pPr>
        <w:pStyle w:val="ListParagraph"/>
        <w:numPr>
          <w:ilvl w:val="0"/>
          <w:numId w:val="33"/>
        </w:numPr>
        <w:rPr>
          <w:rFonts w:asciiTheme="majorHAnsi" w:hAnsiTheme="majorHAnsi"/>
        </w:rPr>
      </w:pPr>
      <w:r w:rsidRPr="00CC7A31">
        <w:rPr>
          <w:rFonts w:asciiTheme="majorHAnsi" w:hAnsiTheme="majorHAnsi"/>
        </w:rPr>
        <w:t>Challenge</w:t>
      </w:r>
      <w:r w:rsidR="001B763E">
        <w:rPr>
          <w:rFonts w:asciiTheme="majorHAnsi" w:hAnsiTheme="majorHAnsi"/>
        </w:rPr>
        <w:t xml:space="preserve"> 1a</w:t>
      </w:r>
      <w:r w:rsidRPr="00CC7A31">
        <w:rPr>
          <w:rFonts w:asciiTheme="majorHAnsi" w:hAnsiTheme="majorHAnsi"/>
        </w:rPr>
        <w:t>: Vertical programs and different donor priorities may support different technology platforms and goals.</w:t>
      </w:r>
    </w:p>
    <w:p w14:paraId="6A1CC375" w14:textId="6FE30C77" w:rsidR="00CC7A31" w:rsidRPr="00CC7A31" w:rsidRDefault="00CC7A31" w:rsidP="00E226D1">
      <w:pPr>
        <w:pStyle w:val="ListParagraph"/>
        <w:numPr>
          <w:ilvl w:val="1"/>
          <w:numId w:val="33"/>
        </w:numPr>
        <w:rPr>
          <w:rFonts w:asciiTheme="majorHAnsi" w:hAnsiTheme="majorHAnsi"/>
        </w:rPr>
      </w:pPr>
      <w:r>
        <w:rPr>
          <w:rFonts w:asciiTheme="majorHAnsi" w:hAnsiTheme="majorHAnsi"/>
        </w:rPr>
        <w:t xml:space="preserve">Comments: Countries that rely heavily on donor funding or public-private partnerships </w:t>
      </w:r>
      <w:r w:rsidR="00850172">
        <w:rPr>
          <w:rFonts w:asciiTheme="majorHAnsi" w:hAnsiTheme="majorHAnsi"/>
        </w:rPr>
        <w:t>c</w:t>
      </w:r>
      <w:r>
        <w:rPr>
          <w:rFonts w:asciiTheme="majorHAnsi" w:hAnsiTheme="majorHAnsi"/>
        </w:rPr>
        <w:t xml:space="preserve">ould consider </w:t>
      </w:r>
      <w:r w:rsidR="00632BFB">
        <w:rPr>
          <w:rFonts w:asciiTheme="majorHAnsi" w:hAnsiTheme="majorHAnsi"/>
        </w:rPr>
        <w:t xml:space="preserve">working on </w:t>
      </w:r>
      <w:r>
        <w:rPr>
          <w:rFonts w:asciiTheme="majorHAnsi" w:hAnsiTheme="majorHAnsi"/>
        </w:rPr>
        <w:t>building integrated pla</w:t>
      </w:r>
      <w:r w:rsidR="00632BFB">
        <w:rPr>
          <w:rFonts w:asciiTheme="majorHAnsi" w:hAnsiTheme="majorHAnsi"/>
        </w:rPr>
        <w:t>tform strategies during project planning stages.</w:t>
      </w:r>
    </w:p>
    <w:p w14:paraId="174443BF" w14:textId="77777777" w:rsidR="00082159" w:rsidRPr="00CC7A31" w:rsidRDefault="00082159" w:rsidP="00082159">
      <w:pPr>
        <w:rPr>
          <w:rFonts w:asciiTheme="majorHAnsi" w:hAnsiTheme="majorHAnsi"/>
          <w:b/>
        </w:rPr>
      </w:pPr>
    </w:p>
    <w:p w14:paraId="30E7A91D" w14:textId="77777777" w:rsidR="00082159" w:rsidRPr="00CC7A31" w:rsidRDefault="00082159" w:rsidP="00F569D3">
      <w:pPr>
        <w:spacing w:after="120"/>
        <w:rPr>
          <w:rFonts w:asciiTheme="majorHAnsi" w:hAnsiTheme="majorHAnsi"/>
          <w:b/>
        </w:rPr>
      </w:pPr>
      <w:r w:rsidRPr="00CC7A31">
        <w:rPr>
          <w:rFonts w:asciiTheme="majorHAnsi" w:hAnsiTheme="majorHAnsi"/>
          <w:b/>
        </w:rPr>
        <w:t>Key Area 2: Governance</w:t>
      </w:r>
    </w:p>
    <w:p w14:paraId="424F9640" w14:textId="480CA438" w:rsidR="00082159" w:rsidRPr="00632BFB" w:rsidRDefault="00632BFB" w:rsidP="00632BFB">
      <w:pPr>
        <w:pStyle w:val="ListParagraph"/>
        <w:numPr>
          <w:ilvl w:val="0"/>
          <w:numId w:val="33"/>
        </w:numPr>
        <w:rPr>
          <w:rFonts w:asciiTheme="majorHAnsi" w:hAnsiTheme="majorHAnsi"/>
        </w:rPr>
      </w:pPr>
      <w:r>
        <w:rPr>
          <w:rFonts w:asciiTheme="majorHAnsi" w:hAnsiTheme="majorHAnsi"/>
        </w:rPr>
        <w:t>Challenge</w:t>
      </w:r>
      <w:r w:rsidR="001B763E">
        <w:rPr>
          <w:rFonts w:asciiTheme="majorHAnsi" w:hAnsiTheme="majorHAnsi"/>
        </w:rPr>
        <w:t xml:space="preserve"> 2a</w:t>
      </w:r>
      <w:r>
        <w:rPr>
          <w:rFonts w:asciiTheme="majorHAnsi" w:hAnsiTheme="majorHAnsi"/>
        </w:rPr>
        <w:t>: S</w:t>
      </w:r>
      <w:r w:rsidR="00082159" w:rsidRPr="00632BFB">
        <w:rPr>
          <w:rFonts w:asciiTheme="majorHAnsi" w:hAnsiTheme="majorHAnsi"/>
        </w:rPr>
        <w:t>eparate governance bodies by disease or program that are not integrated or coordinated</w:t>
      </w:r>
      <w:r>
        <w:rPr>
          <w:rFonts w:asciiTheme="majorHAnsi" w:hAnsiTheme="majorHAnsi"/>
        </w:rPr>
        <w:t>.</w:t>
      </w:r>
    </w:p>
    <w:p w14:paraId="24FA5391" w14:textId="2804D93A" w:rsidR="00632BFB" w:rsidRDefault="00632BFB" w:rsidP="00082159">
      <w:pPr>
        <w:pStyle w:val="ListParagraph"/>
        <w:numPr>
          <w:ilvl w:val="0"/>
          <w:numId w:val="3"/>
        </w:numPr>
        <w:rPr>
          <w:rFonts w:asciiTheme="majorHAnsi" w:hAnsiTheme="majorHAnsi"/>
        </w:rPr>
      </w:pPr>
      <w:r>
        <w:rPr>
          <w:rFonts w:asciiTheme="majorHAnsi" w:hAnsiTheme="majorHAnsi"/>
        </w:rPr>
        <w:t>Challenge</w:t>
      </w:r>
      <w:r w:rsidR="001B763E">
        <w:rPr>
          <w:rFonts w:asciiTheme="majorHAnsi" w:hAnsiTheme="majorHAnsi"/>
        </w:rPr>
        <w:t xml:space="preserve"> 2b</w:t>
      </w:r>
      <w:r>
        <w:rPr>
          <w:rFonts w:asciiTheme="majorHAnsi" w:hAnsiTheme="majorHAnsi"/>
        </w:rPr>
        <w:t xml:space="preserve">: </w:t>
      </w:r>
      <w:r w:rsidR="00082159" w:rsidRPr="00CC7A31">
        <w:rPr>
          <w:rFonts w:asciiTheme="majorHAnsi" w:hAnsiTheme="majorHAnsi"/>
        </w:rPr>
        <w:t>Engaging the private sector</w:t>
      </w:r>
      <w:r w:rsidR="00850172">
        <w:rPr>
          <w:rFonts w:asciiTheme="majorHAnsi" w:hAnsiTheme="majorHAnsi"/>
        </w:rPr>
        <w:t xml:space="preserve">, possibly due to a </w:t>
      </w:r>
      <w:r w:rsidR="00082159" w:rsidRPr="00CC7A31">
        <w:rPr>
          <w:rFonts w:asciiTheme="majorHAnsi" w:hAnsiTheme="majorHAnsi"/>
        </w:rPr>
        <w:t>mismatch in goals/vision between the public and private sectors (e.g., lack of value proposition or incentives for the private sector), legal barriers, lack of business agreements, lack of guidance to the private sector, and prioritization of public sector use cases.</w:t>
      </w:r>
    </w:p>
    <w:p w14:paraId="0A52DB7C" w14:textId="27BAE696" w:rsidR="00850172" w:rsidRDefault="00850172" w:rsidP="00850172">
      <w:pPr>
        <w:pStyle w:val="ListParagraph"/>
        <w:numPr>
          <w:ilvl w:val="1"/>
          <w:numId w:val="3"/>
        </w:numPr>
        <w:rPr>
          <w:rFonts w:asciiTheme="majorHAnsi" w:hAnsiTheme="majorHAnsi"/>
        </w:rPr>
      </w:pPr>
      <w:r>
        <w:rPr>
          <w:rFonts w:asciiTheme="majorHAnsi" w:hAnsiTheme="majorHAnsi"/>
        </w:rPr>
        <w:t>Comments: The extent of this challenge will depend on how large of a role the private sector plays in providing health care. If the larger vision involves data exchange with the private sector, countries should include the private sector in governance from the early stages.</w:t>
      </w:r>
    </w:p>
    <w:p w14:paraId="6BA0208E" w14:textId="53E60FEB" w:rsidR="002314DF" w:rsidRPr="002314DF" w:rsidRDefault="00632BFB" w:rsidP="002314DF">
      <w:pPr>
        <w:pStyle w:val="ListParagraph"/>
        <w:numPr>
          <w:ilvl w:val="0"/>
          <w:numId w:val="3"/>
        </w:numPr>
        <w:rPr>
          <w:rFonts w:asciiTheme="majorHAnsi" w:hAnsiTheme="majorHAnsi"/>
        </w:rPr>
      </w:pPr>
      <w:r>
        <w:rPr>
          <w:rFonts w:asciiTheme="majorHAnsi" w:hAnsiTheme="majorHAnsi"/>
        </w:rPr>
        <w:t>Challenge</w:t>
      </w:r>
      <w:r w:rsidR="001B763E">
        <w:rPr>
          <w:rFonts w:asciiTheme="majorHAnsi" w:hAnsiTheme="majorHAnsi"/>
        </w:rPr>
        <w:t xml:space="preserve"> 2c</w:t>
      </w:r>
      <w:r>
        <w:rPr>
          <w:rFonts w:asciiTheme="majorHAnsi" w:hAnsiTheme="majorHAnsi"/>
        </w:rPr>
        <w:t xml:space="preserve">: </w:t>
      </w:r>
      <w:r w:rsidR="00082159" w:rsidRPr="00632BFB">
        <w:rPr>
          <w:rFonts w:asciiTheme="majorHAnsi" w:hAnsiTheme="majorHAnsi"/>
        </w:rPr>
        <w:t>Engagement/buy-in from health care providers</w:t>
      </w:r>
      <w:r w:rsidR="00F62498">
        <w:rPr>
          <w:rFonts w:asciiTheme="majorHAnsi" w:hAnsiTheme="majorHAnsi"/>
        </w:rPr>
        <w:t xml:space="preserve"> in the HIE vision and implementation</w:t>
      </w:r>
      <w:r>
        <w:rPr>
          <w:rFonts w:asciiTheme="majorHAnsi" w:hAnsiTheme="majorHAnsi"/>
        </w:rPr>
        <w:t>.</w:t>
      </w:r>
    </w:p>
    <w:p w14:paraId="2E5E3D45" w14:textId="0AB62881" w:rsidR="00850172" w:rsidRDefault="00632BFB" w:rsidP="00082159">
      <w:pPr>
        <w:pStyle w:val="ListParagraph"/>
        <w:numPr>
          <w:ilvl w:val="0"/>
          <w:numId w:val="3"/>
        </w:numPr>
        <w:rPr>
          <w:rFonts w:asciiTheme="majorHAnsi" w:hAnsiTheme="majorHAnsi"/>
        </w:rPr>
      </w:pPr>
      <w:r>
        <w:rPr>
          <w:rFonts w:asciiTheme="majorHAnsi" w:hAnsiTheme="majorHAnsi"/>
        </w:rPr>
        <w:t>Challenge</w:t>
      </w:r>
      <w:r w:rsidR="001B763E">
        <w:rPr>
          <w:rFonts w:asciiTheme="majorHAnsi" w:hAnsiTheme="majorHAnsi"/>
        </w:rPr>
        <w:t xml:space="preserve"> 2d</w:t>
      </w:r>
      <w:r>
        <w:rPr>
          <w:rFonts w:asciiTheme="majorHAnsi" w:hAnsiTheme="majorHAnsi"/>
        </w:rPr>
        <w:t xml:space="preserve">: </w:t>
      </w:r>
      <w:r w:rsidR="00082159" w:rsidRPr="00632BFB">
        <w:rPr>
          <w:rFonts w:asciiTheme="majorHAnsi" w:hAnsiTheme="majorHAnsi"/>
        </w:rPr>
        <w:t>Decentralized government</w:t>
      </w:r>
      <w:r>
        <w:rPr>
          <w:rFonts w:asciiTheme="majorHAnsi" w:hAnsiTheme="majorHAnsi"/>
        </w:rPr>
        <w:t xml:space="preserve"> </w:t>
      </w:r>
      <w:r w:rsidR="00850172">
        <w:rPr>
          <w:rFonts w:asciiTheme="majorHAnsi" w:hAnsiTheme="majorHAnsi"/>
        </w:rPr>
        <w:t>with local decision-making power may pose challenges with strategy, standardization, and interoperability.</w:t>
      </w:r>
    </w:p>
    <w:p w14:paraId="011FACBD" w14:textId="17C47C0B" w:rsidR="00632BFB" w:rsidRDefault="00850172" w:rsidP="00850172">
      <w:pPr>
        <w:pStyle w:val="ListParagraph"/>
        <w:numPr>
          <w:ilvl w:val="1"/>
          <w:numId w:val="3"/>
        </w:numPr>
        <w:rPr>
          <w:rFonts w:asciiTheme="majorHAnsi" w:hAnsiTheme="majorHAnsi"/>
        </w:rPr>
      </w:pPr>
      <w:r>
        <w:rPr>
          <w:rFonts w:asciiTheme="majorHAnsi" w:hAnsiTheme="majorHAnsi"/>
        </w:rPr>
        <w:t xml:space="preserve">Comments: The extent of this challenge will depend on the type of government structure. For countries with this concern, governance may </w:t>
      </w:r>
      <w:r w:rsidR="00082159" w:rsidRPr="00632BFB">
        <w:rPr>
          <w:rFonts w:asciiTheme="majorHAnsi" w:hAnsiTheme="majorHAnsi"/>
        </w:rPr>
        <w:t xml:space="preserve">need to work </w:t>
      </w:r>
      <w:r>
        <w:rPr>
          <w:rFonts w:asciiTheme="majorHAnsi" w:hAnsiTheme="majorHAnsi"/>
        </w:rPr>
        <w:t>at both</w:t>
      </w:r>
      <w:r w:rsidR="00082159" w:rsidRPr="00632BFB">
        <w:rPr>
          <w:rFonts w:asciiTheme="majorHAnsi" w:hAnsiTheme="majorHAnsi"/>
        </w:rPr>
        <w:t xml:space="preserve"> national the local levels</w:t>
      </w:r>
      <w:r w:rsidR="00632BFB">
        <w:rPr>
          <w:rFonts w:asciiTheme="majorHAnsi" w:hAnsiTheme="majorHAnsi"/>
        </w:rPr>
        <w:t>.</w:t>
      </w:r>
      <w:r w:rsidR="002314DF">
        <w:rPr>
          <w:rFonts w:asciiTheme="majorHAnsi" w:hAnsiTheme="majorHAnsi"/>
        </w:rPr>
        <w:t xml:space="preserve"> Countries may also need to consider other levers to ensure interoperability and standards adoption, such as regulatory enforcement, incentives/penalties</w:t>
      </w:r>
      <w:r w:rsidR="00B03BFD">
        <w:rPr>
          <w:rFonts w:asciiTheme="majorHAnsi" w:hAnsiTheme="majorHAnsi"/>
        </w:rPr>
        <w:t>, and conditions of participation</w:t>
      </w:r>
      <w:r w:rsidR="0003177D">
        <w:rPr>
          <w:rFonts w:asciiTheme="majorHAnsi" w:hAnsiTheme="majorHAnsi"/>
        </w:rPr>
        <w:t xml:space="preserve"> (e.g., mandatory reporting or engagement in HIE to maintain facility certification)</w:t>
      </w:r>
      <w:r w:rsidR="002314DF">
        <w:rPr>
          <w:rFonts w:asciiTheme="majorHAnsi" w:hAnsiTheme="majorHAnsi"/>
        </w:rPr>
        <w:t>.</w:t>
      </w:r>
    </w:p>
    <w:p w14:paraId="76CB9A25" w14:textId="74621E40" w:rsidR="00082159" w:rsidRPr="00632BFB" w:rsidRDefault="00632BFB" w:rsidP="00082159">
      <w:pPr>
        <w:pStyle w:val="ListParagraph"/>
        <w:numPr>
          <w:ilvl w:val="0"/>
          <w:numId w:val="3"/>
        </w:numPr>
        <w:rPr>
          <w:rFonts w:asciiTheme="majorHAnsi" w:hAnsiTheme="majorHAnsi"/>
        </w:rPr>
      </w:pPr>
      <w:r>
        <w:rPr>
          <w:rFonts w:asciiTheme="majorHAnsi" w:hAnsiTheme="majorHAnsi"/>
        </w:rPr>
        <w:t>Challenge</w:t>
      </w:r>
      <w:r w:rsidR="001B763E">
        <w:rPr>
          <w:rFonts w:asciiTheme="majorHAnsi" w:hAnsiTheme="majorHAnsi"/>
        </w:rPr>
        <w:t xml:space="preserve"> 2e</w:t>
      </w:r>
      <w:r>
        <w:rPr>
          <w:rFonts w:asciiTheme="majorHAnsi" w:hAnsiTheme="majorHAnsi"/>
        </w:rPr>
        <w:t xml:space="preserve">: </w:t>
      </w:r>
      <w:r w:rsidR="00E95358">
        <w:rPr>
          <w:rFonts w:asciiTheme="majorHAnsi" w:hAnsiTheme="majorHAnsi"/>
        </w:rPr>
        <w:t xml:space="preserve">Identifying and </w:t>
      </w:r>
      <w:r w:rsidR="00DE4C74">
        <w:rPr>
          <w:rFonts w:asciiTheme="majorHAnsi" w:hAnsiTheme="majorHAnsi"/>
        </w:rPr>
        <w:t>e</w:t>
      </w:r>
      <w:r w:rsidR="00DE4C74" w:rsidRPr="00632BFB">
        <w:rPr>
          <w:rFonts w:asciiTheme="majorHAnsi" w:hAnsiTheme="majorHAnsi"/>
        </w:rPr>
        <w:t xml:space="preserve">nsuring </w:t>
      </w:r>
      <w:r w:rsidR="00082159" w:rsidRPr="00632BFB">
        <w:rPr>
          <w:rFonts w:asciiTheme="majorHAnsi" w:hAnsiTheme="majorHAnsi"/>
        </w:rPr>
        <w:t>the right partners are involved in governance decisions</w:t>
      </w:r>
      <w:r w:rsidR="00850172">
        <w:rPr>
          <w:rFonts w:asciiTheme="majorHAnsi" w:hAnsiTheme="majorHAnsi"/>
        </w:rPr>
        <w:t>.</w:t>
      </w:r>
    </w:p>
    <w:p w14:paraId="7BE562D1" w14:textId="77777777" w:rsidR="00082159" w:rsidRPr="00CC7A31" w:rsidRDefault="00082159" w:rsidP="00082159">
      <w:pPr>
        <w:rPr>
          <w:rFonts w:asciiTheme="majorHAnsi" w:hAnsiTheme="majorHAnsi"/>
        </w:rPr>
      </w:pPr>
    </w:p>
    <w:p w14:paraId="2A0CE2FD" w14:textId="77777777" w:rsidR="00082159" w:rsidRPr="00CC7A31" w:rsidRDefault="00082159" w:rsidP="00F569D3">
      <w:pPr>
        <w:spacing w:after="120"/>
        <w:rPr>
          <w:rFonts w:asciiTheme="majorHAnsi" w:hAnsiTheme="majorHAnsi"/>
          <w:b/>
        </w:rPr>
      </w:pPr>
      <w:r w:rsidRPr="00CC7A31">
        <w:rPr>
          <w:rFonts w:asciiTheme="majorHAnsi" w:hAnsiTheme="majorHAnsi"/>
          <w:b/>
        </w:rPr>
        <w:t>Key Area 3: HIE Policies &amp; Procedures – General</w:t>
      </w:r>
    </w:p>
    <w:p w14:paraId="1F153A2D" w14:textId="4D736B08" w:rsidR="00632BFB" w:rsidRDefault="00632BFB" w:rsidP="00632BFB">
      <w:pPr>
        <w:pStyle w:val="ListParagraph"/>
        <w:numPr>
          <w:ilvl w:val="0"/>
          <w:numId w:val="34"/>
        </w:numPr>
        <w:rPr>
          <w:rFonts w:asciiTheme="majorHAnsi" w:hAnsiTheme="majorHAnsi"/>
        </w:rPr>
      </w:pPr>
      <w:r>
        <w:rPr>
          <w:rFonts w:asciiTheme="majorHAnsi" w:hAnsiTheme="majorHAnsi"/>
        </w:rPr>
        <w:t>Challenge</w:t>
      </w:r>
      <w:r w:rsidR="001B763E">
        <w:rPr>
          <w:rFonts w:asciiTheme="majorHAnsi" w:hAnsiTheme="majorHAnsi"/>
        </w:rPr>
        <w:t xml:space="preserve"> 3a</w:t>
      </w:r>
      <w:r>
        <w:rPr>
          <w:rFonts w:asciiTheme="majorHAnsi" w:hAnsiTheme="majorHAnsi"/>
        </w:rPr>
        <w:t xml:space="preserve">: </w:t>
      </w:r>
      <w:r w:rsidR="00082159" w:rsidRPr="00632BFB">
        <w:rPr>
          <w:rFonts w:asciiTheme="majorHAnsi" w:hAnsiTheme="majorHAnsi"/>
        </w:rPr>
        <w:t>Lack of legal frameworks or challenges interpreting existing laws</w:t>
      </w:r>
      <w:r w:rsidR="00D6569A">
        <w:rPr>
          <w:rFonts w:asciiTheme="majorHAnsi" w:hAnsiTheme="majorHAnsi"/>
        </w:rPr>
        <w:t>.</w:t>
      </w:r>
    </w:p>
    <w:p w14:paraId="73FD1E79" w14:textId="05BBE64B" w:rsidR="00D6569A" w:rsidRDefault="00D6569A" w:rsidP="00D6569A">
      <w:pPr>
        <w:pStyle w:val="ListParagraph"/>
        <w:numPr>
          <w:ilvl w:val="1"/>
          <w:numId w:val="34"/>
        </w:numPr>
        <w:rPr>
          <w:rFonts w:asciiTheme="majorHAnsi" w:hAnsiTheme="majorHAnsi"/>
        </w:rPr>
      </w:pPr>
      <w:r>
        <w:rPr>
          <w:rFonts w:asciiTheme="majorHAnsi" w:hAnsiTheme="majorHAnsi"/>
        </w:rPr>
        <w:t xml:space="preserve">Comments: </w:t>
      </w:r>
      <w:r w:rsidR="00EC0EFB">
        <w:rPr>
          <w:rFonts w:asciiTheme="majorHAnsi" w:hAnsiTheme="majorHAnsi"/>
        </w:rPr>
        <w:t>Legal tools (e.g., laws, regulations, and enforcement) can provide the boundaries for HIE and interoperability. The culture and government structure may affe</w:t>
      </w:r>
      <w:r w:rsidR="00C97841">
        <w:rPr>
          <w:rFonts w:asciiTheme="majorHAnsi" w:hAnsiTheme="majorHAnsi"/>
        </w:rPr>
        <w:t>ct the effectiveness of legal tools</w:t>
      </w:r>
      <w:r w:rsidR="00EC0EFB">
        <w:rPr>
          <w:rFonts w:asciiTheme="majorHAnsi" w:hAnsiTheme="majorHAnsi"/>
        </w:rPr>
        <w:t>. In some cases, they provide the necessary protections and guardrails in which to operate; in others, very strict laws and regulations may be inflexible to innovation and changes in the environment, thus hindering progress.</w:t>
      </w:r>
    </w:p>
    <w:p w14:paraId="6481306B" w14:textId="4B2B6AE9" w:rsidR="00DE4C74" w:rsidRDefault="00DE4C74" w:rsidP="00D6569A">
      <w:pPr>
        <w:pStyle w:val="ListParagraph"/>
        <w:numPr>
          <w:ilvl w:val="1"/>
          <w:numId w:val="34"/>
        </w:numPr>
        <w:rPr>
          <w:rFonts w:asciiTheme="majorHAnsi" w:hAnsiTheme="majorHAnsi"/>
        </w:rPr>
      </w:pPr>
      <w:r>
        <w:rPr>
          <w:rFonts w:asciiTheme="majorHAnsi" w:hAnsiTheme="majorHAnsi"/>
        </w:rPr>
        <w:t>Comments: Countries may have existing laws for protection of personal data broadly, and it may be challenging to determine how to interpret a broad law for health data specifically.</w:t>
      </w:r>
    </w:p>
    <w:p w14:paraId="423ACCAD" w14:textId="5FDDFCFA" w:rsidR="00632BFB" w:rsidRDefault="00632BFB" w:rsidP="00632BFB">
      <w:pPr>
        <w:pStyle w:val="ListParagraph"/>
        <w:numPr>
          <w:ilvl w:val="0"/>
          <w:numId w:val="34"/>
        </w:numPr>
        <w:rPr>
          <w:rFonts w:asciiTheme="majorHAnsi" w:hAnsiTheme="majorHAnsi"/>
        </w:rPr>
      </w:pPr>
      <w:r>
        <w:rPr>
          <w:rFonts w:asciiTheme="majorHAnsi" w:hAnsiTheme="majorHAnsi"/>
        </w:rPr>
        <w:t>Challenge</w:t>
      </w:r>
      <w:r w:rsidR="001B763E">
        <w:rPr>
          <w:rFonts w:asciiTheme="majorHAnsi" w:hAnsiTheme="majorHAnsi"/>
        </w:rPr>
        <w:t xml:space="preserve"> 3b</w:t>
      </w:r>
      <w:r>
        <w:rPr>
          <w:rFonts w:asciiTheme="majorHAnsi" w:hAnsiTheme="majorHAnsi"/>
        </w:rPr>
        <w:t>: Deciding on how patients will be identified and records matched (e.g., u</w:t>
      </w:r>
      <w:r w:rsidR="00082159" w:rsidRPr="00632BFB">
        <w:rPr>
          <w:rFonts w:asciiTheme="majorHAnsi" w:hAnsiTheme="majorHAnsi"/>
        </w:rPr>
        <w:t>nique patient identifiers, patient matching</w:t>
      </w:r>
      <w:r w:rsidR="00D6569A">
        <w:rPr>
          <w:rFonts w:asciiTheme="majorHAnsi" w:hAnsiTheme="majorHAnsi"/>
        </w:rPr>
        <w:t>).</w:t>
      </w:r>
    </w:p>
    <w:p w14:paraId="4802D166" w14:textId="7BD64BF5" w:rsidR="00082159" w:rsidRPr="00632BFB" w:rsidRDefault="00D6569A" w:rsidP="00632BFB">
      <w:pPr>
        <w:pStyle w:val="ListParagraph"/>
        <w:numPr>
          <w:ilvl w:val="1"/>
          <w:numId w:val="34"/>
        </w:numPr>
        <w:rPr>
          <w:rFonts w:asciiTheme="majorHAnsi" w:hAnsiTheme="majorHAnsi"/>
        </w:rPr>
      </w:pPr>
      <w:r>
        <w:rPr>
          <w:rFonts w:asciiTheme="majorHAnsi" w:hAnsiTheme="majorHAnsi"/>
        </w:rPr>
        <w:t xml:space="preserve">Comments: Unique patient identifiers may be the most efficient solution widely </w:t>
      </w:r>
      <w:r w:rsidR="00E72AF9">
        <w:rPr>
          <w:rFonts w:asciiTheme="majorHAnsi" w:hAnsiTheme="majorHAnsi"/>
        </w:rPr>
        <w:t>implementable</w:t>
      </w:r>
      <w:r>
        <w:rPr>
          <w:rFonts w:asciiTheme="majorHAnsi" w:hAnsiTheme="majorHAnsi"/>
        </w:rPr>
        <w:t xml:space="preserve"> today, but </w:t>
      </w:r>
      <w:r w:rsidR="00E95358">
        <w:rPr>
          <w:rFonts w:asciiTheme="majorHAnsi" w:hAnsiTheme="majorHAnsi"/>
        </w:rPr>
        <w:t xml:space="preserve">societies </w:t>
      </w:r>
      <w:r>
        <w:rPr>
          <w:rFonts w:asciiTheme="majorHAnsi" w:hAnsiTheme="majorHAnsi"/>
        </w:rPr>
        <w:t>may differ in their views of patient identification and acceptability of a patient identifier.</w:t>
      </w:r>
      <w:r w:rsidR="00E72AF9">
        <w:rPr>
          <w:rFonts w:asciiTheme="majorHAnsi" w:hAnsiTheme="majorHAnsi"/>
        </w:rPr>
        <w:t xml:space="preserve"> Where a patient identifier is less acceptable, countries may need to use other methods such as patient match based on demographics. Patient match may present challenges in countries where names are not distinguishable and birth dates are not commonly known or used.</w:t>
      </w:r>
      <w:r>
        <w:rPr>
          <w:rFonts w:asciiTheme="majorHAnsi" w:hAnsiTheme="majorHAnsi"/>
        </w:rPr>
        <w:t xml:space="preserve"> </w:t>
      </w:r>
      <w:r w:rsidR="00082159" w:rsidRPr="00632BFB">
        <w:rPr>
          <w:rFonts w:asciiTheme="majorHAnsi" w:hAnsiTheme="majorHAnsi"/>
        </w:rPr>
        <w:tab/>
      </w:r>
    </w:p>
    <w:p w14:paraId="2E0DC057" w14:textId="77777777" w:rsidR="00082159" w:rsidRPr="00CC7A31" w:rsidRDefault="00082159" w:rsidP="00082159">
      <w:pPr>
        <w:rPr>
          <w:rFonts w:asciiTheme="majorHAnsi" w:hAnsiTheme="majorHAnsi"/>
        </w:rPr>
      </w:pPr>
    </w:p>
    <w:p w14:paraId="60989787" w14:textId="77777777" w:rsidR="00082159" w:rsidRPr="00CC7A31" w:rsidRDefault="00082159" w:rsidP="00F569D3">
      <w:pPr>
        <w:spacing w:after="120"/>
        <w:rPr>
          <w:rFonts w:asciiTheme="majorHAnsi" w:hAnsiTheme="majorHAnsi"/>
        </w:rPr>
      </w:pPr>
      <w:r w:rsidRPr="00CC7A31">
        <w:rPr>
          <w:rFonts w:asciiTheme="majorHAnsi" w:hAnsiTheme="majorHAnsi"/>
          <w:b/>
        </w:rPr>
        <w:t>Key Area 4: HIE Policies &amp; Procedures – Standards &amp; Interoperability</w:t>
      </w:r>
    </w:p>
    <w:p w14:paraId="58FA12A6" w14:textId="63B9E33D" w:rsidR="00082159" w:rsidRDefault="005105E4" w:rsidP="005105E4">
      <w:pPr>
        <w:pStyle w:val="ListParagraph"/>
        <w:numPr>
          <w:ilvl w:val="0"/>
          <w:numId w:val="35"/>
        </w:numPr>
        <w:rPr>
          <w:rFonts w:asciiTheme="majorHAnsi" w:hAnsiTheme="majorHAnsi"/>
        </w:rPr>
      </w:pPr>
      <w:r>
        <w:rPr>
          <w:rFonts w:asciiTheme="majorHAnsi" w:hAnsiTheme="majorHAnsi"/>
        </w:rPr>
        <w:t>Challenge</w:t>
      </w:r>
      <w:r w:rsidR="00803B98">
        <w:rPr>
          <w:rFonts w:asciiTheme="majorHAnsi" w:hAnsiTheme="majorHAnsi"/>
        </w:rPr>
        <w:t xml:space="preserve"> 4a</w:t>
      </w:r>
      <w:r>
        <w:rPr>
          <w:rFonts w:asciiTheme="majorHAnsi" w:hAnsiTheme="majorHAnsi"/>
        </w:rPr>
        <w:t>: C</w:t>
      </w:r>
      <w:r w:rsidR="00082159" w:rsidRPr="005105E4">
        <w:rPr>
          <w:rFonts w:asciiTheme="majorHAnsi" w:hAnsiTheme="majorHAnsi"/>
        </w:rPr>
        <w:t xml:space="preserve">ountries without governance structures in place may be working on standards and interoperability through pilot or demonstration projects. </w:t>
      </w:r>
      <w:r w:rsidR="00181556">
        <w:rPr>
          <w:rFonts w:asciiTheme="majorHAnsi" w:hAnsiTheme="majorHAnsi"/>
        </w:rPr>
        <w:t>A</w:t>
      </w:r>
      <w:r w:rsidR="00082159" w:rsidRPr="005105E4">
        <w:rPr>
          <w:rFonts w:asciiTheme="majorHAnsi" w:hAnsiTheme="majorHAnsi"/>
        </w:rPr>
        <w:t xml:space="preserve"> </w:t>
      </w:r>
      <w:r w:rsidR="00181556">
        <w:rPr>
          <w:rFonts w:asciiTheme="majorHAnsi" w:hAnsiTheme="majorHAnsi"/>
        </w:rPr>
        <w:t>lack of governance frameworks</w:t>
      </w:r>
      <w:r w:rsidR="00082159" w:rsidRPr="005105E4">
        <w:rPr>
          <w:rFonts w:asciiTheme="majorHAnsi" w:hAnsiTheme="majorHAnsi"/>
        </w:rPr>
        <w:t xml:space="preserve"> and/or legal tools (e.g., laws, regulations, data use agreements) may limit widespread or national-level interoperability.</w:t>
      </w:r>
    </w:p>
    <w:p w14:paraId="082E9154" w14:textId="686219F2" w:rsidR="00803B98" w:rsidRPr="005105E4" w:rsidRDefault="00803B98" w:rsidP="00803B98">
      <w:pPr>
        <w:pStyle w:val="ListParagraph"/>
        <w:numPr>
          <w:ilvl w:val="1"/>
          <w:numId w:val="35"/>
        </w:numPr>
        <w:rPr>
          <w:rFonts w:asciiTheme="majorHAnsi" w:hAnsiTheme="majorHAnsi"/>
        </w:rPr>
      </w:pPr>
      <w:r>
        <w:rPr>
          <w:rFonts w:asciiTheme="majorHAnsi" w:hAnsiTheme="majorHAnsi"/>
        </w:rPr>
        <w:t>Comments: See Challenge 1a</w:t>
      </w:r>
      <w:r w:rsidR="005B0F7C">
        <w:rPr>
          <w:rFonts w:asciiTheme="majorHAnsi" w:hAnsiTheme="majorHAnsi"/>
        </w:rPr>
        <w:t>.</w:t>
      </w:r>
    </w:p>
    <w:p w14:paraId="0CAA46C5" w14:textId="6ED3BD3B" w:rsidR="00082159" w:rsidRDefault="005105E4" w:rsidP="00082159">
      <w:pPr>
        <w:pStyle w:val="ListParagraph"/>
        <w:numPr>
          <w:ilvl w:val="0"/>
          <w:numId w:val="14"/>
        </w:numPr>
        <w:rPr>
          <w:rFonts w:asciiTheme="majorHAnsi" w:hAnsiTheme="majorHAnsi"/>
        </w:rPr>
      </w:pPr>
      <w:r w:rsidRPr="005105E4">
        <w:rPr>
          <w:rFonts w:asciiTheme="majorHAnsi" w:hAnsiTheme="majorHAnsi"/>
        </w:rPr>
        <w:t>Challenge</w:t>
      </w:r>
      <w:r w:rsidR="00803B98">
        <w:rPr>
          <w:rFonts w:asciiTheme="majorHAnsi" w:hAnsiTheme="majorHAnsi"/>
        </w:rPr>
        <w:t xml:space="preserve"> 4b</w:t>
      </w:r>
      <w:r w:rsidRPr="005105E4">
        <w:rPr>
          <w:rFonts w:asciiTheme="majorHAnsi" w:hAnsiTheme="majorHAnsi"/>
        </w:rPr>
        <w:t xml:space="preserve">: </w:t>
      </w:r>
      <w:r w:rsidR="00082159" w:rsidRPr="005105E4">
        <w:rPr>
          <w:rFonts w:asciiTheme="majorHAnsi" w:hAnsiTheme="majorHAnsi"/>
        </w:rPr>
        <w:t>Enforcement of standards and guidelines.</w:t>
      </w:r>
    </w:p>
    <w:p w14:paraId="79B2C2A6" w14:textId="168A4B55" w:rsidR="00803B98" w:rsidRPr="005105E4" w:rsidRDefault="00803B98" w:rsidP="00803B98">
      <w:pPr>
        <w:pStyle w:val="ListParagraph"/>
        <w:numPr>
          <w:ilvl w:val="1"/>
          <w:numId w:val="14"/>
        </w:numPr>
        <w:rPr>
          <w:rFonts w:asciiTheme="majorHAnsi" w:hAnsiTheme="majorHAnsi"/>
        </w:rPr>
      </w:pPr>
      <w:r>
        <w:rPr>
          <w:rFonts w:asciiTheme="majorHAnsi" w:hAnsiTheme="majorHAnsi"/>
        </w:rPr>
        <w:t>Comments: See Challenges 2b and 2d</w:t>
      </w:r>
      <w:r w:rsidR="005B0F7C">
        <w:rPr>
          <w:rFonts w:asciiTheme="majorHAnsi" w:hAnsiTheme="majorHAnsi"/>
        </w:rPr>
        <w:t>.</w:t>
      </w:r>
    </w:p>
    <w:p w14:paraId="7B69AC95" w14:textId="4C0F75FF" w:rsidR="00082159" w:rsidRDefault="005105E4" w:rsidP="00082159">
      <w:pPr>
        <w:pStyle w:val="ListParagraph"/>
        <w:numPr>
          <w:ilvl w:val="0"/>
          <w:numId w:val="14"/>
        </w:numPr>
        <w:rPr>
          <w:rFonts w:asciiTheme="majorHAnsi" w:hAnsiTheme="majorHAnsi"/>
        </w:rPr>
      </w:pPr>
      <w:r w:rsidRPr="005105E4">
        <w:rPr>
          <w:rFonts w:asciiTheme="majorHAnsi" w:hAnsiTheme="majorHAnsi"/>
        </w:rPr>
        <w:t>Challenge</w:t>
      </w:r>
      <w:r w:rsidR="00803B98">
        <w:rPr>
          <w:rFonts w:asciiTheme="majorHAnsi" w:hAnsiTheme="majorHAnsi"/>
        </w:rPr>
        <w:t xml:space="preserve"> 4c</w:t>
      </w:r>
      <w:r w:rsidRPr="005105E4">
        <w:rPr>
          <w:rFonts w:asciiTheme="majorHAnsi" w:hAnsiTheme="majorHAnsi"/>
        </w:rPr>
        <w:t xml:space="preserve">: </w:t>
      </w:r>
      <w:r w:rsidR="00082159" w:rsidRPr="005105E4">
        <w:rPr>
          <w:rFonts w:asciiTheme="majorHAnsi" w:hAnsiTheme="majorHAnsi"/>
        </w:rPr>
        <w:t>Standardization and interoperability with a decentralized/federalized government structure.</w:t>
      </w:r>
    </w:p>
    <w:p w14:paraId="5BB41F07" w14:textId="5278BD5E" w:rsidR="00803B98" w:rsidRDefault="00803B98" w:rsidP="00803B98">
      <w:pPr>
        <w:pStyle w:val="ListParagraph"/>
        <w:numPr>
          <w:ilvl w:val="1"/>
          <w:numId w:val="14"/>
        </w:numPr>
        <w:rPr>
          <w:rFonts w:asciiTheme="majorHAnsi" w:hAnsiTheme="majorHAnsi"/>
        </w:rPr>
      </w:pPr>
      <w:r>
        <w:rPr>
          <w:rFonts w:asciiTheme="majorHAnsi" w:hAnsiTheme="majorHAnsi"/>
        </w:rPr>
        <w:t>Comments: See Challenges 2d</w:t>
      </w:r>
      <w:r w:rsidR="005B0F7C">
        <w:rPr>
          <w:rFonts w:asciiTheme="majorHAnsi" w:hAnsiTheme="majorHAnsi"/>
        </w:rPr>
        <w:t>.</w:t>
      </w:r>
    </w:p>
    <w:p w14:paraId="5B1EC067" w14:textId="3382BB51" w:rsidR="000D4918" w:rsidRPr="005105E4" w:rsidRDefault="000D4918" w:rsidP="000D4918">
      <w:pPr>
        <w:pStyle w:val="ListParagraph"/>
        <w:numPr>
          <w:ilvl w:val="0"/>
          <w:numId w:val="14"/>
        </w:numPr>
        <w:rPr>
          <w:rFonts w:asciiTheme="majorHAnsi" w:hAnsiTheme="majorHAnsi"/>
        </w:rPr>
      </w:pPr>
      <w:r>
        <w:rPr>
          <w:rFonts w:asciiTheme="majorHAnsi" w:hAnsiTheme="majorHAnsi"/>
        </w:rPr>
        <w:t>Challenge 4d: Concerns with the data quality and accuracy.</w:t>
      </w:r>
    </w:p>
    <w:p w14:paraId="200ED91A" w14:textId="77777777" w:rsidR="00082159" w:rsidRPr="00CC7A31" w:rsidRDefault="00082159" w:rsidP="00082159">
      <w:pPr>
        <w:rPr>
          <w:rFonts w:asciiTheme="majorHAnsi" w:hAnsiTheme="majorHAnsi"/>
        </w:rPr>
      </w:pPr>
    </w:p>
    <w:p w14:paraId="74AB6F6B" w14:textId="77777777" w:rsidR="00082159" w:rsidRPr="00CC7A31" w:rsidRDefault="00082159" w:rsidP="00F569D3">
      <w:pPr>
        <w:spacing w:after="120"/>
        <w:rPr>
          <w:rFonts w:asciiTheme="majorHAnsi" w:hAnsiTheme="majorHAnsi"/>
          <w:b/>
        </w:rPr>
      </w:pPr>
      <w:r w:rsidRPr="00CC7A31">
        <w:rPr>
          <w:rFonts w:asciiTheme="majorHAnsi" w:hAnsiTheme="majorHAnsi"/>
          <w:b/>
        </w:rPr>
        <w:t>Key Area 5: HIE Policies &amp; Procedures – Privacy &amp; Security</w:t>
      </w:r>
    </w:p>
    <w:p w14:paraId="6FDE45D1" w14:textId="33396679" w:rsidR="00082159" w:rsidRDefault="005B0F7C" w:rsidP="005B0F7C">
      <w:pPr>
        <w:pStyle w:val="ListParagraph"/>
        <w:numPr>
          <w:ilvl w:val="0"/>
          <w:numId w:val="36"/>
        </w:numPr>
        <w:rPr>
          <w:rFonts w:asciiTheme="majorHAnsi" w:hAnsiTheme="majorHAnsi"/>
        </w:rPr>
      </w:pPr>
      <w:r>
        <w:rPr>
          <w:rFonts w:asciiTheme="majorHAnsi" w:hAnsiTheme="majorHAnsi"/>
        </w:rPr>
        <w:t>Challenge</w:t>
      </w:r>
      <w:r w:rsidR="00DC4C38">
        <w:rPr>
          <w:rFonts w:asciiTheme="majorHAnsi" w:hAnsiTheme="majorHAnsi"/>
        </w:rPr>
        <w:t xml:space="preserve"> 5a</w:t>
      </w:r>
      <w:r>
        <w:rPr>
          <w:rFonts w:asciiTheme="majorHAnsi" w:hAnsiTheme="majorHAnsi"/>
        </w:rPr>
        <w:t>: L</w:t>
      </w:r>
      <w:r w:rsidR="00082159" w:rsidRPr="005B0F7C">
        <w:rPr>
          <w:rFonts w:asciiTheme="majorHAnsi" w:hAnsiTheme="majorHAnsi"/>
        </w:rPr>
        <w:t>ack of legal frameworks in place to support privacy and security of health data</w:t>
      </w:r>
      <w:r>
        <w:rPr>
          <w:rFonts w:asciiTheme="majorHAnsi" w:hAnsiTheme="majorHAnsi"/>
        </w:rPr>
        <w:t>.</w:t>
      </w:r>
    </w:p>
    <w:p w14:paraId="3D295CFC" w14:textId="7738B5CF" w:rsidR="00082159" w:rsidRPr="005B0F7C" w:rsidRDefault="005B0F7C" w:rsidP="005B0F7C">
      <w:pPr>
        <w:pStyle w:val="ListParagraph"/>
        <w:numPr>
          <w:ilvl w:val="1"/>
          <w:numId w:val="36"/>
        </w:numPr>
        <w:rPr>
          <w:rFonts w:asciiTheme="majorHAnsi" w:hAnsiTheme="majorHAnsi"/>
        </w:rPr>
      </w:pPr>
      <w:r>
        <w:rPr>
          <w:rFonts w:asciiTheme="majorHAnsi" w:hAnsiTheme="majorHAnsi"/>
        </w:rPr>
        <w:t xml:space="preserve">Comments: See Challenge 3a. Also, </w:t>
      </w:r>
      <w:r w:rsidR="00082159" w:rsidRPr="005B0F7C">
        <w:rPr>
          <w:rFonts w:asciiTheme="majorHAnsi" w:hAnsiTheme="majorHAnsi"/>
        </w:rPr>
        <w:t>example legal frameworks may help country decision-makers leverage the best practices of others in building a foundation for privacy and security.</w:t>
      </w:r>
    </w:p>
    <w:p w14:paraId="76E10556" w14:textId="77777777" w:rsidR="00082159" w:rsidRPr="00CC7A31" w:rsidRDefault="00082159" w:rsidP="00082159">
      <w:pPr>
        <w:rPr>
          <w:rFonts w:asciiTheme="majorHAnsi" w:hAnsiTheme="majorHAnsi"/>
        </w:rPr>
      </w:pPr>
    </w:p>
    <w:p w14:paraId="3196B39F" w14:textId="77777777" w:rsidR="00082159" w:rsidRPr="00CC7A31" w:rsidRDefault="00082159" w:rsidP="00F569D3">
      <w:pPr>
        <w:spacing w:after="120"/>
        <w:rPr>
          <w:rFonts w:asciiTheme="majorHAnsi" w:hAnsiTheme="majorHAnsi"/>
          <w:b/>
        </w:rPr>
      </w:pPr>
      <w:r w:rsidRPr="00CC7A31">
        <w:rPr>
          <w:rFonts w:asciiTheme="majorHAnsi" w:hAnsiTheme="majorHAnsi"/>
          <w:b/>
        </w:rPr>
        <w:t>Key Area 6: HIE Policies &amp; Procedures – Data Use Agreements</w:t>
      </w:r>
    </w:p>
    <w:p w14:paraId="15ADB451" w14:textId="672D00B2" w:rsidR="00301C6B" w:rsidRDefault="00301C6B" w:rsidP="00082159">
      <w:pPr>
        <w:pStyle w:val="ListParagraph"/>
        <w:numPr>
          <w:ilvl w:val="0"/>
          <w:numId w:val="18"/>
        </w:numPr>
        <w:rPr>
          <w:rFonts w:asciiTheme="majorHAnsi" w:hAnsiTheme="majorHAnsi"/>
        </w:rPr>
      </w:pPr>
      <w:r>
        <w:rPr>
          <w:rFonts w:asciiTheme="majorHAnsi" w:hAnsiTheme="majorHAnsi"/>
        </w:rPr>
        <w:t>Challenge</w:t>
      </w:r>
      <w:r w:rsidR="00DC4C38">
        <w:rPr>
          <w:rFonts w:asciiTheme="majorHAnsi" w:hAnsiTheme="majorHAnsi"/>
        </w:rPr>
        <w:t xml:space="preserve"> 6a</w:t>
      </w:r>
      <w:r w:rsidR="00F90AE5">
        <w:rPr>
          <w:rFonts w:asciiTheme="majorHAnsi" w:hAnsiTheme="majorHAnsi"/>
        </w:rPr>
        <w:t>:</w:t>
      </w:r>
      <w:r>
        <w:rPr>
          <w:rFonts w:asciiTheme="majorHAnsi" w:hAnsiTheme="majorHAnsi"/>
        </w:rPr>
        <w:t xml:space="preserve"> </w:t>
      </w:r>
      <w:r w:rsidR="00F90AE5">
        <w:rPr>
          <w:rFonts w:asciiTheme="majorHAnsi" w:hAnsiTheme="majorHAnsi"/>
        </w:rPr>
        <w:t>A</w:t>
      </w:r>
      <w:r w:rsidR="00082159" w:rsidRPr="00CC7A31">
        <w:rPr>
          <w:rFonts w:asciiTheme="majorHAnsi" w:hAnsiTheme="majorHAnsi"/>
        </w:rPr>
        <w:t xml:space="preserve"> lack of data use agreements in LMIC could </w:t>
      </w:r>
      <w:r w:rsidR="006D7C84">
        <w:rPr>
          <w:rFonts w:asciiTheme="majorHAnsi" w:hAnsiTheme="majorHAnsi"/>
        </w:rPr>
        <w:t>reflect</w:t>
      </w:r>
      <w:r w:rsidR="00082159" w:rsidRPr="00CC7A31">
        <w:rPr>
          <w:rFonts w:asciiTheme="majorHAnsi" w:hAnsiTheme="majorHAnsi"/>
        </w:rPr>
        <w:t xml:space="preserve"> the challenges countries have experienced developing the business processes to support HIE and interoperability. </w:t>
      </w:r>
    </w:p>
    <w:p w14:paraId="7D75AC81" w14:textId="44808EE5" w:rsidR="00082159" w:rsidRPr="00CC7A31" w:rsidRDefault="00301C6B" w:rsidP="00301C6B">
      <w:pPr>
        <w:pStyle w:val="ListParagraph"/>
        <w:numPr>
          <w:ilvl w:val="1"/>
          <w:numId w:val="18"/>
        </w:numPr>
        <w:rPr>
          <w:rFonts w:asciiTheme="majorHAnsi" w:hAnsiTheme="majorHAnsi"/>
        </w:rPr>
      </w:pPr>
      <w:r>
        <w:rPr>
          <w:rFonts w:asciiTheme="majorHAnsi" w:hAnsiTheme="majorHAnsi"/>
        </w:rPr>
        <w:t xml:space="preserve">Comments: </w:t>
      </w:r>
      <w:r w:rsidR="00082159" w:rsidRPr="00CC7A31">
        <w:rPr>
          <w:rFonts w:asciiTheme="majorHAnsi" w:hAnsiTheme="majorHAnsi"/>
        </w:rPr>
        <w:t xml:space="preserve">In cases where the focus for HIE is in the public sector and where the MoH is the main decision-maker for the health sector, data use agreements may not be viewed as necessary because of MoH-issued requirements or mandates for data sharing. </w:t>
      </w:r>
      <w:r w:rsidR="000E47E8">
        <w:rPr>
          <w:rFonts w:asciiTheme="majorHAnsi" w:hAnsiTheme="majorHAnsi"/>
        </w:rPr>
        <w:t>C</w:t>
      </w:r>
      <w:r w:rsidR="00082159" w:rsidRPr="00CC7A31">
        <w:rPr>
          <w:rFonts w:asciiTheme="majorHAnsi" w:hAnsiTheme="majorHAnsi"/>
        </w:rPr>
        <w:t>ountries indicated they are beginning to engage the private sector and foresee a need for data exchange agreements in the near future.</w:t>
      </w:r>
    </w:p>
    <w:p w14:paraId="2667D796" w14:textId="53C76D18" w:rsidR="00082159" w:rsidRPr="00CC7A31" w:rsidRDefault="0079676A" w:rsidP="00301C6B">
      <w:pPr>
        <w:pStyle w:val="ListParagraph"/>
        <w:numPr>
          <w:ilvl w:val="1"/>
          <w:numId w:val="18"/>
        </w:numPr>
        <w:rPr>
          <w:rFonts w:asciiTheme="majorHAnsi" w:hAnsiTheme="majorHAnsi"/>
        </w:rPr>
      </w:pPr>
      <w:r>
        <w:rPr>
          <w:rFonts w:asciiTheme="majorHAnsi" w:hAnsiTheme="majorHAnsi"/>
        </w:rPr>
        <w:t xml:space="preserve">Comments: </w:t>
      </w:r>
      <w:r w:rsidR="00082159" w:rsidRPr="00CC7A31">
        <w:rPr>
          <w:rFonts w:asciiTheme="majorHAnsi" w:hAnsiTheme="majorHAnsi"/>
        </w:rPr>
        <w:t>Contributors expressed that data sharing agreements would likely be necessary for any inter-country/cross-border sharing, where issues of data “ownership,” permitted uses/reuse, and liability can play a large role.</w:t>
      </w:r>
      <w:r w:rsidR="001F3F22">
        <w:rPr>
          <w:rFonts w:asciiTheme="majorHAnsi" w:hAnsiTheme="majorHAnsi"/>
        </w:rPr>
        <w:t xml:space="preserve"> If </w:t>
      </w:r>
      <w:r w:rsidR="00F90AE5">
        <w:rPr>
          <w:rFonts w:asciiTheme="majorHAnsi" w:hAnsiTheme="majorHAnsi"/>
        </w:rPr>
        <w:t>countries envision cross-border data sharing, they should bear in mind the decision points in the framework for Key Area 6</w:t>
      </w:r>
      <w:r w:rsidR="0064194B">
        <w:rPr>
          <w:rFonts w:asciiTheme="majorHAnsi" w:hAnsiTheme="majorHAnsi"/>
        </w:rPr>
        <w:t xml:space="preserve"> </w:t>
      </w:r>
      <w:r w:rsidR="0064194B" w:rsidRPr="00D70730">
        <w:rPr>
          <w:rFonts w:asciiTheme="majorHAnsi" w:hAnsiTheme="majorHAnsi"/>
          <w:color w:val="A6A6A6" w:themeColor="background1" w:themeShade="A6"/>
        </w:rPr>
        <w:t xml:space="preserve">(page </w:t>
      </w:r>
      <w:r w:rsidR="0064194B" w:rsidRPr="00D70730">
        <w:rPr>
          <w:rFonts w:asciiTheme="majorHAnsi" w:hAnsiTheme="majorHAnsi"/>
          <w:color w:val="A6A6A6" w:themeColor="background1" w:themeShade="A6"/>
        </w:rPr>
        <w:fldChar w:fldCharType="begin"/>
      </w:r>
      <w:r w:rsidR="0064194B" w:rsidRPr="00D70730">
        <w:rPr>
          <w:rFonts w:asciiTheme="majorHAnsi" w:hAnsiTheme="majorHAnsi"/>
          <w:color w:val="A6A6A6" w:themeColor="background1" w:themeShade="A6"/>
        </w:rPr>
        <w:instrText xml:space="preserve"> PAGEREF _Ref446328776 \h </w:instrText>
      </w:r>
      <w:r w:rsidR="0064194B" w:rsidRPr="00D70730">
        <w:rPr>
          <w:rFonts w:asciiTheme="majorHAnsi" w:hAnsiTheme="majorHAnsi"/>
          <w:color w:val="A6A6A6" w:themeColor="background1" w:themeShade="A6"/>
        </w:rPr>
      </w:r>
      <w:r w:rsidR="0064194B" w:rsidRPr="00D70730">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32</w:t>
      </w:r>
      <w:r w:rsidR="0064194B" w:rsidRPr="00D70730">
        <w:rPr>
          <w:rFonts w:asciiTheme="majorHAnsi" w:hAnsiTheme="majorHAnsi"/>
          <w:color w:val="A6A6A6" w:themeColor="background1" w:themeShade="A6"/>
        </w:rPr>
        <w:fldChar w:fldCharType="end"/>
      </w:r>
      <w:r w:rsidR="0064194B" w:rsidRPr="00D70730">
        <w:rPr>
          <w:rFonts w:asciiTheme="majorHAnsi" w:hAnsiTheme="majorHAnsi"/>
          <w:color w:val="A6A6A6" w:themeColor="background1" w:themeShade="A6"/>
        </w:rPr>
        <w:t>)</w:t>
      </w:r>
      <w:r w:rsidR="00F90AE5">
        <w:rPr>
          <w:rFonts w:asciiTheme="majorHAnsi" w:hAnsiTheme="majorHAnsi"/>
        </w:rPr>
        <w:t>.</w:t>
      </w:r>
      <w:r w:rsidR="000E47E8">
        <w:rPr>
          <w:rFonts w:asciiTheme="majorHAnsi" w:hAnsiTheme="majorHAnsi"/>
        </w:rPr>
        <w:t xml:space="preserve"> As discussed in </w:t>
      </w:r>
      <w:r w:rsidR="000E47E8" w:rsidRPr="00D70730">
        <w:rPr>
          <w:rFonts w:asciiTheme="majorHAnsi" w:hAnsiTheme="majorHAnsi"/>
          <w:i/>
        </w:rPr>
        <w:t>Best Practices Feature #4</w:t>
      </w:r>
      <w:r w:rsidR="0064194B">
        <w:rPr>
          <w:rFonts w:asciiTheme="majorHAnsi" w:hAnsiTheme="majorHAnsi"/>
        </w:rPr>
        <w:t xml:space="preserve"> </w:t>
      </w:r>
      <w:r w:rsidR="0064194B" w:rsidRPr="00D70730">
        <w:rPr>
          <w:rFonts w:asciiTheme="majorHAnsi" w:hAnsiTheme="majorHAnsi"/>
          <w:color w:val="A6A6A6" w:themeColor="background1" w:themeShade="A6"/>
        </w:rPr>
        <w:t xml:space="preserve">(page </w:t>
      </w:r>
      <w:r w:rsidR="0064194B" w:rsidRPr="00D70730">
        <w:rPr>
          <w:rFonts w:asciiTheme="majorHAnsi" w:hAnsiTheme="majorHAnsi"/>
          <w:color w:val="A6A6A6" w:themeColor="background1" w:themeShade="A6"/>
        </w:rPr>
        <w:fldChar w:fldCharType="begin"/>
      </w:r>
      <w:r w:rsidR="0064194B" w:rsidRPr="00D70730">
        <w:rPr>
          <w:rFonts w:asciiTheme="majorHAnsi" w:hAnsiTheme="majorHAnsi"/>
          <w:color w:val="A6A6A6" w:themeColor="background1" w:themeShade="A6"/>
        </w:rPr>
        <w:instrText xml:space="preserve"> PAGEREF _Ref446328812 \h </w:instrText>
      </w:r>
      <w:r w:rsidR="0064194B" w:rsidRPr="00D70730">
        <w:rPr>
          <w:rFonts w:asciiTheme="majorHAnsi" w:hAnsiTheme="majorHAnsi"/>
          <w:color w:val="A6A6A6" w:themeColor="background1" w:themeShade="A6"/>
        </w:rPr>
      </w:r>
      <w:r w:rsidR="0064194B" w:rsidRPr="00D70730">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43</w:t>
      </w:r>
      <w:r w:rsidR="0064194B" w:rsidRPr="00D70730">
        <w:rPr>
          <w:rFonts w:asciiTheme="majorHAnsi" w:hAnsiTheme="majorHAnsi"/>
          <w:color w:val="A6A6A6" w:themeColor="background1" w:themeShade="A6"/>
        </w:rPr>
        <w:fldChar w:fldCharType="end"/>
      </w:r>
      <w:r w:rsidR="0064194B" w:rsidRPr="00D70730">
        <w:rPr>
          <w:rFonts w:asciiTheme="majorHAnsi" w:hAnsiTheme="majorHAnsi"/>
          <w:color w:val="A6A6A6" w:themeColor="background1" w:themeShade="A6"/>
        </w:rPr>
        <w:t>)</w:t>
      </w:r>
      <w:r w:rsidR="000E47E8">
        <w:rPr>
          <w:rFonts w:asciiTheme="majorHAnsi" w:hAnsiTheme="majorHAnsi"/>
        </w:rPr>
        <w:t>, a multi-party data use agreement is one model that can help reduce or eliminate the need for point-to-point agreements.</w:t>
      </w:r>
    </w:p>
    <w:p w14:paraId="78C65F98" w14:textId="77777777" w:rsidR="00082159" w:rsidRPr="00CC7A31" w:rsidRDefault="00082159" w:rsidP="00082159">
      <w:pPr>
        <w:rPr>
          <w:rFonts w:asciiTheme="majorHAnsi" w:hAnsiTheme="majorHAnsi"/>
        </w:rPr>
      </w:pPr>
    </w:p>
    <w:p w14:paraId="6D4E3CB5" w14:textId="77777777" w:rsidR="00082159" w:rsidRPr="00CC7A31" w:rsidRDefault="00082159" w:rsidP="00F569D3">
      <w:pPr>
        <w:spacing w:after="120"/>
        <w:rPr>
          <w:rFonts w:asciiTheme="majorHAnsi" w:hAnsiTheme="majorHAnsi"/>
        </w:rPr>
      </w:pPr>
      <w:r w:rsidRPr="00CC7A31">
        <w:rPr>
          <w:rFonts w:asciiTheme="majorHAnsi" w:hAnsiTheme="majorHAnsi"/>
          <w:b/>
        </w:rPr>
        <w:t>Key Area 7: HIE Implementation</w:t>
      </w:r>
    </w:p>
    <w:p w14:paraId="6D7BDA92" w14:textId="3EA68475" w:rsidR="00082159" w:rsidRDefault="007E154C" w:rsidP="007E154C">
      <w:pPr>
        <w:pStyle w:val="ListParagraph"/>
        <w:numPr>
          <w:ilvl w:val="0"/>
          <w:numId w:val="18"/>
        </w:numPr>
        <w:rPr>
          <w:rFonts w:asciiTheme="majorHAnsi" w:hAnsiTheme="majorHAnsi"/>
        </w:rPr>
      </w:pPr>
      <w:r>
        <w:rPr>
          <w:rFonts w:asciiTheme="majorHAnsi" w:hAnsiTheme="majorHAnsi"/>
        </w:rPr>
        <w:t>Challenge</w:t>
      </w:r>
      <w:r w:rsidR="00DC4C38">
        <w:rPr>
          <w:rFonts w:asciiTheme="majorHAnsi" w:hAnsiTheme="majorHAnsi"/>
        </w:rPr>
        <w:t xml:space="preserve"> 7a</w:t>
      </w:r>
      <w:r>
        <w:rPr>
          <w:rFonts w:asciiTheme="majorHAnsi" w:hAnsiTheme="majorHAnsi"/>
        </w:rPr>
        <w:t xml:space="preserve">: </w:t>
      </w:r>
      <w:r w:rsidR="00082159" w:rsidRPr="007E154C">
        <w:rPr>
          <w:rFonts w:asciiTheme="majorHAnsi" w:hAnsiTheme="majorHAnsi"/>
        </w:rPr>
        <w:t>Basic infrastructure</w:t>
      </w:r>
      <w:r>
        <w:rPr>
          <w:rFonts w:asciiTheme="majorHAnsi" w:hAnsiTheme="majorHAnsi"/>
        </w:rPr>
        <w:t xml:space="preserve"> (e.g., reliable Internet connectivity, hardware)</w:t>
      </w:r>
      <w:r w:rsidR="00C2303C">
        <w:rPr>
          <w:rFonts w:asciiTheme="majorHAnsi" w:hAnsiTheme="majorHAnsi"/>
        </w:rPr>
        <w:t>.</w:t>
      </w:r>
    </w:p>
    <w:p w14:paraId="3BA152AD" w14:textId="0C5BF99F" w:rsidR="007E154C" w:rsidRDefault="007E154C" w:rsidP="00082159">
      <w:pPr>
        <w:pStyle w:val="ListParagraph"/>
        <w:numPr>
          <w:ilvl w:val="1"/>
          <w:numId w:val="18"/>
        </w:numPr>
        <w:rPr>
          <w:rFonts w:asciiTheme="majorHAnsi" w:hAnsiTheme="majorHAnsi"/>
        </w:rPr>
      </w:pPr>
      <w:r>
        <w:rPr>
          <w:rFonts w:asciiTheme="majorHAnsi" w:hAnsiTheme="majorHAnsi"/>
        </w:rPr>
        <w:t>Comments: This framework assumes a fair degree of basic infrastructure is in place in-country, however many LMIC are experiencing challenges in this area. Basic infrastructure is a prerequisite for sustainable and effective HIE</w:t>
      </w:r>
      <w:r w:rsidR="00FE7833">
        <w:rPr>
          <w:rFonts w:asciiTheme="majorHAnsi" w:hAnsiTheme="majorHAnsi"/>
        </w:rPr>
        <w:t xml:space="preserve"> and is necessary for sustainability</w:t>
      </w:r>
      <w:r>
        <w:rPr>
          <w:rFonts w:asciiTheme="majorHAnsi" w:hAnsiTheme="majorHAnsi"/>
        </w:rPr>
        <w:t>.</w:t>
      </w:r>
    </w:p>
    <w:p w14:paraId="61BA664D" w14:textId="15345572" w:rsidR="007E154C" w:rsidRDefault="00C234B6" w:rsidP="00082159">
      <w:pPr>
        <w:pStyle w:val="ListParagraph"/>
        <w:numPr>
          <w:ilvl w:val="0"/>
          <w:numId w:val="18"/>
        </w:numPr>
        <w:rPr>
          <w:rFonts w:asciiTheme="majorHAnsi" w:hAnsiTheme="majorHAnsi"/>
        </w:rPr>
      </w:pPr>
      <w:r>
        <w:rPr>
          <w:rFonts w:asciiTheme="majorHAnsi" w:hAnsiTheme="majorHAnsi"/>
        </w:rPr>
        <w:t>Challenge</w:t>
      </w:r>
      <w:r w:rsidR="00DC4C38">
        <w:rPr>
          <w:rFonts w:asciiTheme="majorHAnsi" w:hAnsiTheme="majorHAnsi"/>
        </w:rPr>
        <w:t xml:space="preserve"> 7b</w:t>
      </w:r>
      <w:r>
        <w:rPr>
          <w:rFonts w:asciiTheme="majorHAnsi" w:hAnsiTheme="majorHAnsi"/>
        </w:rPr>
        <w:t xml:space="preserve">: </w:t>
      </w:r>
      <w:r w:rsidR="00082159" w:rsidRPr="007E154C">
        <w:rPr>
          <w:rFonts w:asciiTheme="majorHAnsi" w:hAnsiTheme="majorHAnsi"/>
        </w:rPr>
        <w:t>Financing</w:t>
      </w:r>
      <w:r w:rsidR="00C2303C">
        <w:rPr>
          <w:rFonts w:asciiTheme="majorHAnsi" w:hAnsiTheme="majorHAnsi"/>
        </w:rPr>
        <w:t>.</w:t>
      </w:r>
    </w:p>
    <w:p w14:paraId="6DAB4E7F" w14:textId="5052CC0C" w:rsidR="00C234B6" w:rsidRDefault="00C234B6" w:rsidP="00C234B6">
      <w:pPr>
        <w:pStyle w:val="ListParagraph"/>
        <w:numPr>
          <w:ilvl w:val="1"/>
          <w:numId w:val="18"/>
        </w:numPr>
        <w:rPr>
          <w:rFonts w:asciiTheme="majorHAnsi" w:hAnsiTheme="majorHAnsi"/>
        </w:rPr>
      </w:pPr>
      <w:r>
        <w:rPr>
          <w:rFonts w:asciiTheme="majorHAnsi" w:hAnsiTheme="majorHAnsi"/>
        </w:rPr>
        <w:t>Comments: Many LMIC may depend on donor funding sources and/or public-private partnerships (see Challenge 1a). In addition, countries may face challenges in creating a sustainable business model for HIE in the long-run. Experience with ongoing HIE implementation shows that careful planning is needed for a successful transition from scale-up to ongoing sustainability.</w:t>
      </w:r>
    </w:p>
    <w:p w14:paraId="26810960" w14:textId="13BEC132" w:rsidR="003E688F" w:rsidRDefault="00C234B6" w:rsidP="00C2303C">
      <w:pPr>
        <w:pStyle w:val="ListParagraph"/>
        <w:numPr>
          <w:ilvl w:val="0"/>
          <w:numId w:val="18"/>
        </w:numPr>
        <w:rPr>
          <w:rFonts w:asciiTheme="majorHAnsi" w:hAnsiTheme="majorHAnsi"/>
        </w:rPr>
      </w:pPr>
      <w:r>
        <w:rPr>
          <w:rFonts w:asciiTheme="majorHAnsi" w:hAnsiTheme="majorHAnsi"/>
        </w:rPr>
        <w:t>Challenge</w:t>
      </w:r>
      <w:r w:rsidR="00DC4C38">
        <w:rPr>
          <w:rFonts w:asciiTheme="majorHAnsi" w:hAnsiTheme="majorHAnsi"/>
        </w:rPr>
        <w:t xml:space="preserve"> 7c</w:t>
      </w:r>
      <w:r>
        <w:rPr>
          <w:rFonts w:asciiTheme="majorHAnsi" w:hAnsiTheme="majorHAnsi"/>
        </w:rPr>
        <w:t xml:space="preserve">: </w:t>
      </w:r>
      <w:r w:rsidR="007E154C">
        <w:rPr>
          <w:rFonts w:asciiTheme="majorHAnsi" w:hAnsiTheme="majorHAnsi"/>
        </w:rPr>
        <w:t>In-</w:t>
      </w:r>
      <w:r w:rsidR="00082159" w:rsidRPr="007E154C">
        <w:rPr>
          <w:rFonts w:asciiTheme="majorHAnsi" w:hAnsiTheme="majorHAnsi"/>
        </w:rPr>
        <w:t>country human resources and capacity to support and sustain HIE</w:t>
      </w:r>
      <w:r w:rsidR="00C2303C">
        <w:rPr>
          <w:rFonts w:asciiTheme="majorHAnsi" w:hAnsiTheme="majorHAnsi"/>
        </w:rPr>
        <w:t>.</w:t>
      </w:r>
    </w:p>
    <w:p w14:paraId="64104FB1" w14:textId="775A681B" w:rsidR="000845F4" w:rsidRDefault="00137010" w:rsidP="000845F4">
      <w:pPr>
        <w:pStyle w:val="ListParagraph"/>
        <w:numPr>
          <w:ilvl w:val="1"/>
          <w:numId w:val="18"/>
        </w:numPr>
        <w:rPr>
          <w:rFonts w:asciiTheme="majorHAnsi" w:hAnsiTheme="majorHAnsi"/>
        </w:rPr>
      </w:pPr>
      <w:r>
        <w:rPr>
          <w:rFonts w:asciiTheme="majorHAnsi" w:hAnsiTheme="majorHAnsi"/>
        </w:rPr>
        <w:t>Countries working with donors and in public-private partnerships should plan for transfer of knowledge and proper training of health care workers at all levels.</w:t>
      </w:r>
    </w:p>
    <w:p w14:paraId="5CA53351" w14:textId="23E7B533" w:rsidR="000845F4" w:rsidRDefault="000845F4" w:rsidP="000845F4">
      <w:pPr>
        <w:rPr>
          <w:rFonts w:asciiTheme="majorHAnsi" w:hAnsiTheme="majorHAnsi"/>
        </w:rPr>
      </w:pPr>
    </w:p>
    <w:p w14:paraId="6459CCBD" w14:textId="77777777" w:rsidR="000845F4" w:rsidRPr="000845F4" w:rsidRDefault="000845F4" w:rsidP="000845F4">
      <w:pPr>
        <w:rPr>
          <w:rFonts w:asciiTheme="majorHAnsi" w:hAnsiTheme="majorHAnsi"/>
        </w:rPr>
        <w:sectPr w:rsidR="000845F4" w:rsidRPr="000845F4">
          <w:footnotePr>
            <w:numFmt w:val="lowerLetter"/>
          </w:footnotePr>
          <w:pgSz w:w="12240" w:h="15840"/>
          <w:pgMar w:top="1440" w:right="1440" w:bottom="1440" w:left="1440" w:header="720" w:footer="720" w:gutter="0"/>
          <w:cols w:space="720"/>
          <w:docGrid w:linePitch="360"/>
        </w:sectPr>
      </w:pPr>
    </w:p>
    <w:p w14:paraId="2B65B1D7" w14:textId="79B93145" w:rsidR="006F74BC" w:rsidRDefault="003E688F" w:rsidP="00B1394A">
      <w:pPr>
        <w:pStyle w:val="ListParagraph"/>
        <w:numPr>
          <w:ilvl w:val="0"/>
          <w:numId w:val="30"/>
        </w:numPr>
        <w:jc w:val="center"/>
        <w:rPr>
          <w:rFonts w:asciiTheme="majorHAnsi" w:hAnsiTheme="majorHAnsi"/>
          <w:b/>
          <w:sz w:val="28"/>
          <w:szCs w:val="28"/>
        </w:rPr>
      </w:pPr>
      <w:bookmarkStart w:id="21" w:name="_Ref445202027"/>
      <w:r w:rsidRPr="00C624DD">
        <w:rPr>
          <w:rFonts w:asciiTheme="majorHAnsi" w:hAnsiTheme="majorHAnsi"/>
          <w:b/>
          <w:sz w:val="28"/>
          <w:szCs w:val="28"/>
        </w:rPr>
        <w:t>Gaps for Future Research</w:t>
      </w:r>
      <w:bookmarkEnd w:id="21"/>
    </w:p>
    <w:p w14:paraId="50A42B76" w14:textId="77777777" w:rsidR="006F74BC" w:rsidRDefault="006F74BC" w:rsidP="006F74BC">
      <w:pPr>
        <w:pStyle w:val="ListParagraph"/>
        <w:ind w:left="0"/>
        <w:rPr>
          <w:rFonts w:asciiTheme="majorHAnsi" w:hAnsiTheme="majorHAnsi"/>
          <w:b/>
          <w:sz w:val="28"/>
          <w:szCs w:val="28"/>
        </w:rPr>
      </w:pPr>
    </w:p>
    <w:p w14:paraId="718F33EA" w14:textId="2018B8EA" w:rsidR="00BC58A4" w:rsidRDefault="00BC58A4" w:rsidP="00F30AC4">
      <w:pPr>
        <w:pStyle w:val="ListParagraph"/>
        <w:spacing w:after="120"/>
        <w:ind w:left="0"/>
        <w:contextualSpacing w:val="0"/>
        <w:rPr>
          <w:rFonts w:asciiTheme="majorHAnsi" w:hAnsiTheme="majorHAnsi"/>
        </w:rPr>
      </w:pPr>
      <w:r>
        <w:rPr>
          <w:rFonts w:asciiTheme="majorHAnsi" w:hAnsiTheme="majorHAnsi"/>
        </w:rPr>
        <w:t>Th</w:t>
      </w:r>
      <w:r w:rsidR="006D7C84">
        <w:rPr>
          <w:rFonts w:asciiTheme="majorHAnsi" w:hAnsiTheme="majorHAnsi"/>
        </w:rPr>
        <w:t>is</w:t>
      </w:r>
      <w:r>
        <w:rPr>
          <w:rFonts w:asciiTheme="majorHAnsi" w:hAnsiTheme="majorHAnsi"/>
        </w:rPr>
        <w:t xml:space="preserve"> review </w:t>
      </w:r>
      <w:r w:rsidR="006D7C84">
        <w:rPr>
          <w:rFonts w:asciiTheme="majorHAnsi" w:hAnsiTheme="majorHAnsi"/>
        </w:rPr>
        <w:t xml:space="preserve">revealed </w:t>
      </w:r>
      <w:r>
        <w:rPr>
          <w:rFonts w:asciiTheme="majorHAnsi" w:hAnsiTheme="majorHAnsi"/>
        </w:rPr>
        <w:t>knowledge gaps in the following areas that warrant further investigation:</w:t>
      </w:r>
    </w:p>
    <w:p w14:paraId="7068EC4A" w14:textId="77777777" w:rsidR="000622F8" w:rsidRDefault="00BC58A4" w:rsidP="00BC58A4">
      <w:pPr>
        <w:pStyle w:val="ListParagraph"/>
        <w:numPr>
          <w:ilvl w:val="0"/>
          <w:numId w:val="38"/>
        </w:numPr>
        <w:rPr>
          <w:rFonts w:asciiTheme="majorHAnsi" w:hAnsiTheme="majorHAnsi"/>
        </w:rPr>
      </w:pPr>
      <w:r w:rsidRPr="00BC58A4">
        <w:rPr>
          <w:rFonts w:asciiTheme="majorHAnsi" w:hAnsiTheme="majorHAnsi"/>
        </w:rPr>
        <w:t xml:space="preserve">Policies </w:t>
      </w:r>
      <w:r>
        <w:rPr>
          <w:rFonts w:asciiTheme="majorHAnsi" w:hAnsiTheme="majorHAnsi"/>
        </w:rPr>
        <w:t xml:space="preserve">around patient access to electronic health information </w:t>
      </w:r>
      <w:r w:rsidRPr="00BC58A4">
        <w:rPr>
          <w:rFonts w:asciiTheme="majorHAnsi" w:hAnsiTheme="majorHAnsi"/>
        </w:rPr>
        <w:t xml:space="preserve">are unknown. Most LMIC in the review do not appear to provide patient access </w:t>
      </w:r>
      <w:r>
        <w:rPr>
          <w:rFonts w:asciiTheme="majorHAnsi" w:hAnsiTheme="majorHAnsi"/>
        </w:rPr>
        <w:t>to e</w:t>
      </w:r>
      <w:r w:rsidR="000622F8">
        <w:rPr>
          <w:rFonts w:asciiTheme="majorHAnsi" w:hAnsiTheme="majorHAnsi"/>
        </w:rPr>
        <w:t>lectronic health data today.</w:t>
      </w:r>
    </w:p>
    <w:p w14:paraId="0D1916FD" w14:textId="5D6FFB96" w:rsidR="001670AB" w:rsidRDefault="000622F8" w:rsidP="00BC58A4">
      <w:pPr>
        <w:pStyle w:val="ListParagraph"/>
        <w:numPr>
          <w:ilvl w:val="0"/>
          <w:numId w:val="38"/>
        </w:numPr>
        <w:rPr>
          <w:rFonts w:asciiTheme="majorHAnsi" w:hAnsiTheme="majorHAnsi"/>
        </w:rPr>
      </w:pPr>
      <w:r>
        <w:rPr>
          <w:rFonts w:asciiTheme="majorHAnsi" w:hAnsiTheme="majorHAnsi"/>
        </w:rPr>
        <w:t>Country policies and procedures around i</w:t>
      </w:r>
      <w:r w:rsidR="00BC58A4" w:rsidRPr="000622F8">
        <w:rPr>
          <w:rFonts w:asciiTheme="majorHAnsi" w:hAnsiTheme="majorHAnsi"/>
        </w:rPr>
        <w:t>ssues of data provenance, how to indicate provenance during HIE</w:t>
      </w:r>
      <w:r>
        <w:rPr>
          <w:rFonts w:asciiTheme="majorHAnsi" w:hAnsiTheme="majorHAnsi"/>
        </w:rPr>
        <w:t xml:space="preserve"> (the verb)</w:t>
      </w:r>
      <w:r w:rsidR="00BC58A4" w:rsidRPr="000622F8">
        <w:rPr>
          <w:rFonts w:asciiTheme="majorHAnsi" w:hAnsiTheme="majorHAnsi"/>
        </w:rPr>
        <w:t>, and policies about how to treat data depending on the provenance</w:t>
      </w:r>
      <w:r w:rsidR="00A01C70">
        <w:rPr>
          <w:rFonts w:asciiTheme="majorHAnsi" w:hAnsiTheme="majorHAnsi"/>
        </w:rPr>
        <w:t xml:space="preserve"> are unknown</w:t>
      </w:r>
      <w:r w:rsidR="00BC58A4" w:rsidRPr="000622F8">
        <w:rPr>
          <w:rFonts w:asciiTheme="majorHAnsi" w:hAnsiTheme="majorHAnsi"/>
        </w:rPr>
        <w:t>.</w:t>
      </w:r>
      <w:r w:rsidR="00E90125">
        <w:rPr>
          <w:rFonts w:asciiTheme="majorHAnsi" w:hAnsiTheme="majorHAnsi"/>
        </w:rPr>
        <w:t xml:space="preserve"> These</w:t>
      </w:r>
      <w:r>
        <w:rPr>
          <w:rFonts w:asciiTheme="majorHAnsi" w:hAnsiTheme="majorHAnsi"/>
        </w:rPr>
        <w:t xml:space="preserve"> ap</w:t>
      </w:r>
      <w:r w:rsidR="00E90125">
        <w:rPr>
          <w:rFonts w:asciiTheme="majorHAnsi" w:hAnsiTheme="majorHAnsi"/>
        </w:rPr>
        <w:t>pear</w:t>
      </w:r>
      <w:r>
        <w:rPr>
          <w:rFonts w:asciiTheme="majorHAnsi" w:hAnsiTheme="majorHAnsi"/>
        </w:rPr>
        <w:t xml:space="preserve"> to be burgeoning issue</w:t>
      </w:r>
      <w:r w:rsidR="00E90125">
        <w:rPr>
          <w:rFonts w:asciiTheme="majorHAnsi" w:hAnsiTheme="majorHAnsi"/>
        </w:rPr>
        <w:t>s</w:t>
      </w:r>
      <w:r>
        <w:rPr>
          <w:rFonts w:asciiTheme="majorHAnsi" w:hAnsiTheme="majorHAnsi"/>
        </w:rPr>
        <w:t xml:space="preserve"> </w:t>
      </w:r>
      <w:r w:rsidR="001670AB">
        <w:rPr>
          <w:rFonts w:asciiTheme="majorHAnsi" w:hAnsiTheme="majorHAnsi"/>
        </w:rPr>
        <w:t>that countries are beginning to consider. Further exploration of the policy and technology options available is warranted.</w:t>
      </w:r>
    </w:p>
    <w:p w14:paraId="288E2E33" w14:textId="1DA6E4B5" w:rsidR="00BC58A4" w:rsidRPr="001670AB" w:rsidRDefault="001670AB" w:rsidP="00BC58A4">
      <w:pPr>
        <w:pStyle w:val="ListParagraph"/>
        <w:numPr>
          <w:ilvl w:val="0"/>
          <w:numId w:val="38"/>
        </w:numPr>
        <w:rPr>
          <w:rFonts w:asciiTheme="majorHAnsi" w:hAnsiTheme="majorHAnsi"/>
        </w:rPr>
      </w:pPr>
      <w:r>
        <w:rPr>
          <w:rFonts w:asciiTheme="majorHAnsi" w:hAnsiTheme="majorHAnsi"/>
        </w:rPr>
        <w:t>T</w:t>
      </w:r>
      <w:r w:rsidR="00BC58A4" w:rsidRPr="001670AB">
        <w:rPr>
          <w:rFonts w:asciiTheme="majorHAnsi" w:hAnsiTheme="majorHAnsi"/>
        </w:rPr>
        <w:t xml:space="preserve">he review was not able to elucidate the existence of national level consent policies. All eHealth Strategies include privacy &amp; security and/or confidentiality as a key </w:t>
      </w:r>
      <w:r w:rsidR="00C867AF">
        <w:rPr>
          <w:rFonts w:asciiTheme="majorHAnsi" w:hAnsiTheme="majorHAnsi"/>
        </w:rPr>
        <w:t>principle</w:t>
      </w:r>
      <w:r w:rsidR="00BC58A4" w:rsidRPr="001670AB">
        <w:rPr>
          <w:rFonts w:asciiTheme="majorHAnsi" w:hAnsiTheme="majorHAnsi"/>
        </w:rPr>
        <w:t>, but the policies and implementation are unknown.</w:t>
      </w:r>
      <w:r>
        <w:rPr>
          <w:rFonts w:asciiTheme="majorHAnsi" w:hAnsiTheme="majorHAnsi"/>
        </w:rPr>
        <w:t xml:space="preserve"> Further study and e</w:t>
      </w:r>
      <w:r w:rsidRPr="005B0F7C">
        <w:rPr>
          <w:rFonts w:asciiTheme="majorHAnsi" w:hAnsiTheme="majorHAnsi"/>
        </w:rPr>
        <w:t>xample legal frameworks may help country decision-makers leverage the best practices of others in building a foundation for privacy and security.</w:t>
      </w:r>
    </w:p>
    <w:p w14:paraId="27833A69" w14:textId="77777777" w:rsidR="00BC58A4" w:rsidRDefault="00BC58A4" w:rsidP="006F74BC">
      <w:pPr>
        <w:pStyle w:val="ListParagraph"/>
        <w:ind w:left="0"/>
        <w:rPr>
          <w:rFonts w:asciiTheme="majorHAnsi" w:hAnsiTheme="majorHAnsi"/>
        </w:rPr>
      </w:pPr>
    </w:p>
    <w:p w14:paraId="45243066" w14:textId="3DBFB2F0" w:rsidR="006F74BC" w:rsidRDefault="00E245C4" w:rsidP="006F74BC">
      <w:pPr>
        <w:pStyle w:val="ListParagraph"/>
        <w:ind w:left="0"/>
        <w:rPr>
          <w:rFonts w:asciiTheme="majorHAnsi" w:hAnsiTheme="majorHAnsi"/>
        </w:rPr>
      </w:pPr>
      <w:r>
        <w:rPr>
          <w:rFonts w:asciiTheme="majorHAnsi" w:hAnsiTheme="majorHAnsi"/>
        </w:rPr>
        <w:t>As noted in Chapter 3: Methods</w:t>
      </w:r>
      <w:r w:rsidR="00BE186A">
        <w:rPr>
          <w:rFonts w:asciiTheme="majorHAnsi" w:hAnsiTheme="majorHAnsi"/>
        </w:rPr>
        <w:t xml:space="preserve"> </w:t>
      </w:r>
      <w:r w:rsidR="00BE186A" w:rsidRPr="00D70730">
        <w:rPr>
          <w:rFonts w:asciiTheme="majorHAnsi" w:hAnsiTheme="majorHAnsi"/>
          <w:color w:val="A6A6A6" w:themeColor="background1" w:themeShade="A6"/>
        </w:rPr>
        <w:t xml:space="preserve">(page </w:t>
      </w:r>
      <w:r w:rsidR="00BE186A" w:rsidRPr="00D70730">
        <w:rPr>
          <w:rFonts w:asciiTheme="majorHAnsi" w:hAnsiTheme="majorHAnsi"/>
          <w:color w:val="A6A6A6" w:themeColor="background1" w:themeShade="A6"/>
        </w:rPr>
        <w:fldChar w:fldCharType="begin"/>
      </w:r>
      <w:r w:rsidR="00BE186A" w:rsidRPr="00D70730">
        <w:rPr>
          <w:rFonts w:asciiTheme="majorHAnsi" w:hAnsiTheme="majorHAnsi"/>
          <w:color w:val="A6A6A6" w:themeColor="background1" w:themeShade="A6"/>
        </w:rPr>
        <w:instrText xml:space="preserve"> PAGEREF _Ref445201917 \h </w:instrText>
      </w:r>
      <w:r w:rsidR="00BE186A" w:rsidRPr="00D70730">
        <w:rPr>
          <w:rFonts w:asciiTheme="majorHAnsi" w:hAnsiTheme="majorHAnsi"/>
          <w:color w:val="A6A6A6" w:themeColor="background1" w:themeShade="A6"/>
        </w:rPr>
      </w:r>
      <w:r w:rsidR="00BE186A" w:rsidRPr="00D70730">
        <w:rPr>
          <w:rFonts w:asciiTheme="majorHAnsi" w:hAnsiTheme="majorHAnsi"/>
          <w:color w:val="A6A6A6" w:themeColor="background1" w:themeShade="A6"/>
        </w:rPr>
        <w:fldChar w:fldCharType="separate"/>
      </w:r>
      <w:r w:rsidR="009427C5">
        <w:rPr>
          <w:rFonts w:asciiTheme="majorHAnsi" w:hAnsiTheme="majorHAnsi"/>
          <w:noProof/>
          <w:color w:val="A6A6A6" w:themeColor="background1" w:themeShade="A6"/>
        </w:rPr>
        <w:t>6</w:t>
      </w:r>
      <w:r w:rsidR="00BE186A" w:rsidRPr="00D70730">
        <w:rPr>
          <w:rFonts w:asciiTheme="majorHAnsi" w:hAnsiTheme="majorHAnsi"/>
          <w:color w:val="A6A6A6" w:themeColor="background1" w:themeShade="A6"/>
        </w:rPr>
        <w:fldChar w:fldCharType="end"/>
      </w:r>
      <w:r w:rsidR="00BE186A" w:rsidRPr="00D70730">
        <w:rPr>
          <w:rFonts w:asciiTheme="majorHAnsi" w:hAnsiTheme="majorHAnsi"/>
          <w:color w:val="A6A6A6" w:themeColor="background1" w:themeShade="A6"/>
        </w:rPr>
        <w:t>)</w:t>
      </w:r>
      <w:r>
        <w:rPr>
          <w:rFonts w:asciiTheme="majorHAnsi" w:hAnsiTheme="majorHAnsi"/>
        </w:rPr>
        <w:t xml:space="preserve">, this review does not present official MoH positions and may not have identified all existing HIE policies and procedures due to the networking method of information gathering. </w:t>
      </w:r>
      <w:r w:rsidR="006F74BC">
        <w:rPr>
          <w:rFonts w:asciiTheme="majorHAnsi" w:hAnsiTheme="majorHAnsi"/>
        </w:rPr>
        <w:t xml:space="preserve">A more robust and </w:t>
      </w:r>
      <w:r>
        <w:rPr>
          <w:rFonts w:asciiTheme="majorHAnsi" w:hAnsiTheme="majorHAnsi"/>
        </w:rPr>
        <w:t>quantitative</w:t>
      </w:r>
      <w:r w:rsidR="006F74BC">
        <w:rPr>
          <w:rFonts w:asciiTheme="majorHAnsi" w:hAnsiTheme="majorHAnsi"/>
        </w:rPr>
        <w:t xml:space="preserve"> review </w:t>
      </w:r>
      <w:r>
        <w:rPr>
          <w:rFonts w:asciiTheme="majorHAnsi" w:hAnsiTheme="majorHAnsi"/>
        </w:rPr>
        <w:t>would</w:t>
      </w:r>
      <w:r w:rsidR="006F74BC">
        <w:rPr>
          <w:rFonts w:asciiTheme="majorHAnsi" w:hAnsiTheme="majorHAnsi"/>
        </w:rPr>
        <w:t xml:space="preserve"> </w:t>
      </w:r>
      <w:r w:rsidR="000852F9">
        <w:rPr>
          <w:rFonts w:asciiTheme="majorHAnsi" w:hAnsiTheme="majorHAnsi"/>
        </w:rPr>
        <w:t>require a standardized survey of</w:t>
      </w:r>
      <w:r w:rsidR="006F74BC">
        <w:rPr>
          <w:rFonts w:asciiTheme="majorHAnsi" w:hAnsiTheme="majorHAnsi"/>
        </w:rPr>
        <w:t xml:space="preserve"> the MoH’s </w:t>
      </w:r>
      <w:r w:rsidR="00A706AF">
        <w:rPr>
          <w:rFonts w:asciiTheme="majorHAnsi" w:hAnsiTheme="majorHAnsi"/>
        </w:rPr>
        <w:t>in</w:t>
      </w:r>
      <w:r w:rsidR="006F74BC">
        <w:rPr>
          <w:rFonts w:asciiTheme="majorHAnsi" w:hAnsiTheme="majorHAnsi"/>
        </w:rPr>
        <w:t xml:space="preserve"> LMIC.</w:t>
      </w:r>
    </w:p>
    <w:p w14:paraId="22AF90A6" w14:textId="77777777" w:rsidR="000C0396" w:rsidRDefault="000C0396" w:rsidP="006F74BC">
      <w:pPr>
        <w:pStyle w:val="ListParagraph"/>
        <w:ind w:left="0"/>
        <w:rPr>
          <w:rFonts w:asciiTheme="majorHAnsi" w:hAnsiTheme="majorHAnsi"/>
        </w:rPr>
      </w:pPr>
    </w:p>
    <w:p w14:paraId="444CE461" w14:textId="79AE3430" w:rsidR="000C0396" w:rsidRDefault="00E245C4" w:rsidP="006F74BC">
      <w:pPr>
        <w:pStyle w:val="ListParagraph"/>
        <w:ind w:left="0"/>
        <w:rPr>
          <w:rFonts w:asciiTheme="majorHAnsi" w:hAnsiTheme="majorHAnsi"/>
        </w:rPr>
      </w:pPr>
      <w:r>
        <w:rPr>
          <w:rFonts w:asciiTheme="majorHAnsi" w:hAnsiTheme="majorHAnsi"/>
        </w:rPr>
        <w:t xml:space="preserve">This review also focused on LMIC. While information was gathered from </w:t>
      </w:r>
      <w:r w:rsidR="000C0396">
        <w:rPr>
          <w:rFonts w:asciiTheme="majorHAnsi" w:hAnsiTheme="majorHAnsi"/>
        </w:rPr>
        <w:t>high-income countries</w:t>
      </w:r>
      <w:r w:rsidR="009473D1">
        <w:rPr>
          <w:rFonts w:asciiTheme="majorHAnsi" w:hAnsiTheme="majorHAnsi"/>
        </w:rPr>
        <w:t xml:space="preserve"> as time permitted</w:t>
      </w:r>
      <w:r w:rsidR="00443B3A">
        <w:rPr>
          <w:rFonts w:asciiTheme="majorHAnsi" w:hAnsiTheme="majorHAnsi"/>
        </w:rPr>
        <w:t>,</w:t>
      </w:r>
      <w:r>
        <w:rPr>
          <w:rFonts w:asciiTheme="majorHAnsi" w:hAnsiTheme="majorHAnsi"/>
        </w:rPr>
        <w:t xml:space="preserve"> m</w:t>
      </w:r>
      <w:r w:rsidR="000C0396">
        <w:rPr>
          <w:rFonts w:asciiTheme="majorHAnsi" w:hAnsiTheme="majorHAnsi"/>
        </w:rPr>
        <w:t xml:space="preserve">ore information from </w:t>
      </w:r>
      <w:r>
        <w:rPr>
          <w:rFonts w:asciiTheme="majorHAnsi" w:hAnsiTheme="majorHAnsi"/>
        </w:rPr>
        <w:t>HIE and interoperability</w:t>
      </w:r>
      <w:r w:rsidR="000C0396">
        <w:rPr>
          <w:rFonts w:asciiTheme="majorHAnsi" w:hAnsiTheme="majorHAnsi"/>
        </w:rPr>
        <w:t xml:space="preserve"> initiat</w:t>
      </w:r>
      <w:r>
        <w:rPr>
          <w:rFonts w:asciiTheme="majorHAnsi" w:hAnsiTheme="majorHAnsi"/>
        </w:rPr>
        <w:t xml:space="preserve">ives in high-income countries (e.g., </w:t>
      </w:r>
      <w:r w:rsidR="000C0396">
        <w:rPr>
          <w:rFonts w:asciiTheme="majorHAnsi" w:hAnsiTheme="majorHAnsi"/>
        </w:rPr>
        <w:t>Canada, EU</w:t>
      </w:r>
      <w:r w:rsidR="0091223F">
        <w:rPr>
          <w:rFonts w:asciiTheme="majorHAnsi" w:hAnsiTheme="majorHAnsi"/>
        </w:rPr>
        <w:t xml:space="preserve"> countries</w:t>
      </w:r>
      <w:r w:rsidR="000C0396">
        <w:rPr>
          <w:rFonts w:asciiTheme="majorHAnsi" w:hAnsiTheme="majorHAnsi"/>
        </w:rPr>
        <w:t>, Australia, New Zealand</w:t>
      </w:r>
      <w:r>
        <w:rPr>
          <w:rFonts w:asciiTheme="majorHAnsi" w:hAnsiTheme="majorHAnsi"/>
        </w:rPr>
        <w:t>)</w:t>
      </w:r>
      <w:r w:rsidR="000C0396">
        <w:rPr>
          <w:rFonts w:asciiTheme="majorHAnsi" w:hAnsiTheme="majorHAnsi"/>
        </w:rPr>
        <w:t xml:space="preserve"> can likely offer additional lessons learned and other models compared to the United States.</w:t>
      </w:r>
    </w:p>
    <w:p w14:paraId="5DADCA20" w14:textId="77777777" w:rsidR="00EA1C5A" w:rsidRDefault="00EA1C5A" w:rsidP="006F74BC">
      <w:pPr>
        <w:pStyle w:val="ListParagraph"/>
        <w:ind w:left="0"/>
        <w:rPr>
          <w:rFonts w:asciiTheme="majorHAnsi" w:hAnsiTheme="majorHAnsi"/>
        </w:rPr>
      </w:pPr>
    </w:p>
    <w:p w14:paraId="4963C4D8" w14:textId="12573063" w:rsidR="00A03DE1" w:rsidRPr="006F74BC" w:rsidRDefault="00EA1C5A" w:rsidP="00F569D3">
      <w:pPr>
        <w:pStyle w:val="ListParagraph"/>
        <w:spacing w:after="120"/>
        <w:ind w:left="0"/>
        <w:contextualSpacing w:val="0"/>
        <w:rPr>
          <w:rFonts w:asciiTheme="majorHAnsi" w:hAnsiTheme="majorHAnsi"/>
        </w:rPr>
      </w:pPr>
      <w:r>
        <w:rPr>
          <w:rFonts w:asciiTheme="majorHAnsi" w:hAnsiTheme="majorHAnsi"/>
        </w:rPr>
        <w:t xml:space="preserve">Finally, </w:t>
      </w:r>
      <w:r w:rsidR="00A03DE1">
        <w:rPr>
          <w:rFonts w:asciiTheme="majorHAnsi" w:hAnsiTheme="majorHAnsi"/>
        </w:rPr>
        <w:t>additional analysis of the data collected in this review as well as further information gathering to fill in the gaps could yield additional publications on specific topics that can enhance the knowledge in this area. These additional topics include:</w:t>
      </w:r>
    </w:p>
    <w:p w14:paraId="28B6C5DD" w14:textId="551D5B7E" w:rsidR="00BC58A4" w:rsidRPr="00BC58A4" w:rsidRDefault="00BC58A4" w:rsidP="00A03DE1">
      <w:pPr>
        <w:numPr>
          <w:ilvl w:val="0"/>
          <w:numId w:val="39"/>
        </w:numPr>
        <w:shd w:val="clear" w:color="auto" w:fill="FFFFFF"/>
        <w:rPr>
          <w:rFonts w:asciiTheme="majorHAnsi" w:eastAsia="Times New Roman" w:hAnsiTheme="majorHAnsi"/>
          <w:color w:val="000000"/>
        </w:rPr>
      </w:pPr>
      <w:r w:rsidRPr="00BC58A4">
        <w:rPr>
          <w:rFonts w:asciiTheme="majorHAnsi" w:eastAsia="Times New Roman" w:hAnsiTheme="majorHAnsi"/>
          <w:color w:val="000000"/>
        </w:rPr>
        <w:t>Geog</w:t>
      </w:r>
      <w:r w:rsidR="00A03DE1">
        <w:rPr>
          <w:rFonts w:asciiTheme="majorHAnsi" w:eastAsia="Times New Roman" w:hAnsiTheme="majorHAnsi"/>
          <w:color w:val="000000"/>
        </w:rPr>
        <w:t xml:space="preserve">raphic constraints of </w:t>
      </w:r>
      <w:r w:rsidR="00C4770F">
        <w:rPr>
          <w:rFonts w:asciiTheme="majorHAnsi" w:eastAsia="Times New Roman" w:hAnsiTheme="majorHAnsi"/>
          <w:color w:val="000000"/>
        </w:rPr>
        <w:t xml:space="preserve">data </w:t>
      </w:r>
      <w:r w:rsidR="00A03DE1">
        <w:rPr>
          <w:rFonts w:asciiTheme="majorHAnsi" w:eastAsia="Times New Roman" w:hAnsiTheme="majorHAnsi"/>
          <w:color w:val="000000"/>
        </w:rPr>
        <w:t xml:space="preserve">sharing (e.g., </w:t>
      </w:r>
      <w:r w:rsidRPr="00BC58A4">
        <w:rPr>
          <w:rFonts w:asciiTheme="majorHAnsi" w:eastAsia="Times New Roman" w:hAnsiTheme="majorHAnsi"/>
          <w:color w:val="000000"/>
        </w:rPr>
        <w:t>cross</w:t>
      </w:r>
      <w:r w:rsidR="00A03DE1">
        <w:rPr>
          <w:rFonts w:asciiTheme="majorHAnsi" w:eastAsia="Times New Roman" w:hAnsiTheme="majorHAnsi"/>
          <w:color w:val="000000"/>
        </w:rPr>
        <w:t>-border vs. local/regional/</w:t>
      </w:r>
      <w:r w:rsidRPr="00BC58A4">
        <w:rPr>
          <w:rFonts w:asciiTheme="majorHAnsi" w:eastAsia="Times New Roman" w:hAnsiTheme="majorHAnsi"/>
          <w:color w:val="000000"/>
        </w:rPr>
        <w:t>national</w:t>
      </w:r>
      <w:r w:rsidR="00A03DE1">
        <w:rPr>
          <w:rFonts w:asciiTheme="majorHAnsi" w:eastAsia="Times New Roman" w:hAnsiTheme="majorHAnsi"/>
          <w:color w:val="000000"/>
        </w:rPr>
        <w:t xml:space="preserve"> exchange</w:t>
      </w:r>
      <w:r w:rsidRPr="00BC58A4">
        <w:rPr>
          <w:rFonts w:asciiTheme="majorHAnsi" w:eastAsia="Times New Roman" w:hAnsiTheme="majorHAnsi"/>
          <w:color w:val="000000"/>
        </w:rPr>
        <w:t>)</w:t>
      </w:r>
    </w:p>
    <w:p w14:paraId="06D17F2A" w14:textId="547AC68F" w:rsidR="00BC58A4" w:rsidRPr="00BC58A4" w:rsidRDefault="00A03DE1" w:rsidP="00A03DE1">
      <w:pPr>
        <w:numPr>
          <w:ilvl w:val="0"/>
          <w:numId w:val="39"/>
        </w:numPr>
        <w:shd w:val="clear" w:color="auto" w:fill="FFFFFF"/>
        <w:rPr>
          <w:rFonts w:asciiTheme="majorHAnsi" w:eastAsia="Times New Roman" w:hAnsiTheme="majorHAnsi"/>
          <w:color w:val="000000"/>
        </w:rPr>
      </w:pPr>
      <w:r>
        <w:rPr>
          <w:rFonts w:asciiTheme="majorHAnsi" w:eastAsia="Times New Roman" w:hAnsiTheme="majorHAnsi"/>
          <w:color w:val="000000"/>
        </w:rPr>
        <w:t>Public health/</w:t>
      </w:r>
      <w:r w:rsidR="00BC58A4" w:rsidRPr="00BC58A4">
        <w:rPr>
          <w:rFonts w:asciiTheme="majorHAnsi" w:eastAsia="Times New Roman" w:hAnsiTheme="majorHAnsi"/>
          <w:color w:val="000000"/>
        </w:rPr>
        <w:t>pop</w:t>
      </w:r>
      <w:r>
        <w:rPr>
          <w:rFonts w:asciiTheme="majorHAnsi" w:eastAsia="Times New Roman" w:hAnsiTheme="majorHAnsi"/>
          <w:color w:val="000000"/>
        </w:rPr>
        <w:t>ulation</w:t>
      </w:r>
      <w:r w:rsidR="00BC58A4" w:rsidRPr="00BC58A4">
        <w:rPr>
          <w:rFonts w:asciiTheme="majorHAnsi" w:eastAsia="Times New Roman" w:hAnsiTheme="majorHAnsi"/>
          <w:color w:val="000000"/>
        </w:rPr>
        <w:t xml:space="preserve"> health </w:t>
      </w:r>
      <w:r>
        <w:rPr>
          <w:rFonts w:asciiTheme="majorHAnsi" w:eastAsia="Times New Roman" w:hAnsiTheme="majorHAnsi"/>
          <w:color w:val="000000"/>
        </w:rPr>
        <w:t>vs.</w:t>
      </w:r>
      <w:r w:rsidR="00BC58A4" w:rsidRPr="00BC58A4">
        <w:rPr>
          <w:rFonts w:asciiTheme="majorHAnsi" w:eastAsia="Times New Roman" w:hAnsiTheme="majorHAnsi"/>
          <w:color w:val="000000"/>
        </w:rPr>
        <w:t xml:space="preserve"> individual</w:t>
      </w:r>
      <w:r>
        <w:rPr>
          <w:rFonts w:asciiTheme="majorHAnsi" w:eastAsia="Times New Roman" w:hAnsiTheme="majorHAnsi"/>
          <w:color w:val="000000"/>
        </w:rPr>
        <w:t>-level</w:t>
      </w:r>
      <w:r w:rsidR="00BC58A4" w:rsidRPr="00BC58A4">
        <w:rPr>
          <w:rFonts w:asciiTheme="majorHAnsi" w:eastAsia="Times New Roman" w:hAnsiTheme="majorHAnsi"/>
          <w:color w:val="000000"/>
        </w:rPr>
        <w:t xml:space="preserve"> data sharing</w:t>
      </w:r>
    </w:p>
    <w:p w14:paraId="2E081380" w14:textId="0235BF10" w:rsidR="00BC58A4" w:rsidRPr="00BC58A4" w:rsidRDefault="00A03DE1" w:rsidP="00A03DE1">
      <w:pPr>
        <w:numPr>
          <w:ilvl w:val="0"/>
          <w:numId w:val="39"/>
        </w:numPr>
        <w:shd w:val="clear" w:color="auto" w:fill="FFFFFF"/>
        <w:spacing w:before="100" w:beforeAutospacing="1" w:after="100" w:afterAutospacing="1"/>
        <w:rPr>
          <w:rFonts w:asciiTheme="majorHAnsi" w:eastAsia="Times New Roman" w:hAnsiTheme="majorHAnsi"/>
          <w:color w:val="000000"/>
        </w:rPr>
      </w:pPr>
      <w:r>
        <w:rPr>
          <w:rFonts w:asciiTheme="majorHAnsi" w:eastAsia="Times New Roman" w:hAnsiTheme="majorHAnsi"/>
          <w:color w:val="000000"/>
        </w:rPr>
        <w:t>Data for research beyond monitoring and evaluation</w:t>
      </w:r>
    </w:p>
    <w:p w14:paraId="06E0D38B" w14:textId="7E302387" w:rsidR="00BC58A4" w:rsidRPr="00BC58A4" w:rsidRDefault="001C2406" w:rsidP="00A03DE1">
      <w:pPr>
        <w:numPr>
          <w:ilvl w:val="0"/>
          <w:numId w:val="39"/>
        </w:numPr>
        <w:shd w:val="clear" w:color="auto" w:fill="FFFFFF"/>
        <w:spacing w:before="100" w:beforeAutospacing="1" w:after="100" w:afterAutospacing="1"/>
        <w:rPr>
          <w:rFonts w:asciiTheme="majorHAnsi" w:eastAsia="Times New Roman" w:hAnsiTheme="majorHAnsi"/>
          <w:color w:val="000000"/>
        </w:rPr>
      </w:pPr>
      <w:r>
        <w:rPr>
          <w:rFonts w:asciiTheme="majorHAnsi" w:eastAsia="Times New Roman" w:hAnsiTheme="majorHAnsi"/>
          <w:color w:val="000000"/>
        </w:rPr>
        <w:t>An opinion paper on “</w:t>
      </w:r>
      <w:r w:rsidR="00BC58A4" w:rsidRPr="00BC58A4">
        <w:rPr>
          <w:rFonts w:asciiTheme="majorHAnsi" w:eastAsia="Times New Roman" w:hAnsiTheme="majorHAnsi"/>
          <w:color w:val="000000"/>
        </w:rPr>
        <w:t xml:space="preserve">What does </w:t>
      </w:r>
      <w:r w:rsidR="006044C7">
        <w:rPr>
          <w:rFonts w:asciiTheme="majorHAnsi" w:eastAsia="Times New Roman" w:hAnsiTheme="majorHAnsi"/>
          <w:color w:val="000000"/>
        </w:rPr>
        <w:t>monitoring and evaluation</w:t>
      </w:r>
      <w:r>
        <w:rPr>
          <w:rFonts w:asciiTheme="majorHAnsi" w:eastAsia="Times New Roman" w:hAnsiTheme="majorHAnsi"/>
          <w:color w:val="000000"/>
        </w:rPr>
        <w:t xml:space="preserve"> mean with patient empowerment</w:t>
      </w:r>
      <w:r w:rsidR="00BC58A4" w:rsidRPr="00BC58A4">
        <w:rPr>
          <w:rFonts w:asciiTheme="majorHAnsi" w:eastAsia="Times New Roman" w:hAnsiTheme="majorHAnsi"/>
          <w:color w:val="000000"/>
        </w:rPr>
        <w:t xml:space="preserve">? </w:t>
      </w:r>
      <w:r>
        <w:rPr>
          <w:rFonts w:asciiTheme="majorHAnsi" w:eastAsia="Times New Roman" w:hAnsiTheme="majorHAnsi"/>
          <w:color w:val="000000"/>
        </w:rPr>
        <w:t>Do patients</w:t>
      </w:r>
      <w:r w:rsidR="00BC58A4" w:rsidRPr="00BC58A4">
        <w:rPr>
          <w:rFonts w:asciiTheme="majorHAnsi" w:eastAsia="Times New Roman" w:hAnsiTheme="majorHAnsi"/>
          <w:color w:val="000000"/>
        </w:rPr>
        <w:t xml:space="preserve"> know that their data is being used for </w:t>
      </w:r>
      <w:r>
        <w:rPr>
          <w:rFonts w:asciiTheme="majorHAnsi" w:eastAsia="Times New Roman" w:hAnsiTheme="majorHAnsi"/>
          <w:color w:val="000000"/>
        </w:rPr>
        <w:t>monitoring and evaluation? What are the changing perceptions of patient ownership and access to health data, and what are the implications for HIE?”</w:t>
      </w:r>
    </w:p>
    <w:p w14:paraId="7A203E41" w14:textId="2DB3E8C3" w:rsidR="00BC58A4" w:rsidRPr="00BC58A4" w:rsidRDefault="001C2406" w:rsidP="00A03DE1">
      <w:pPr>
        <w:numPr>
          <w:ilvl w:val="0"/>
          <w:numId w:val="39"/>
        </w:numPr>
        <w:shd w:val="clear" w:color="auto" w:fill="FFFFFF"/>
        <w:spacing w:before="100" w:beforeAutospacing="1" w:after="100" w:afterAutospacing="1"/>
        <w:rPr>
          <w:rFonts w:asciiTheme="majorHAnsi" w:eastAsia="Times New Roman" w:hAnsiTheme="majorHAnsi"/>
          <w:color w:val="000000"/>
        </w:rPr>
      </w:pPr>
      <w:r>
        <w:rPr>
          <w:rFonts w:asciiTheme="majorHAnsi" w:eastAsia="Times New Roman" w:hAnsiTheme="majorHAnsi"/>
          <w:color w:val="000000"/>
        </w:rPr>
        <w:t>A deeper dive into the privacy, security, and confidentiality policy issues as relates to HIE and interoperability</w:t>
      </w:r>
    </w:p>
    <w:p w14:paraId="4DC1E65E" w14:textId="7934716F" w:rsidR="000C0396" w:rsidRDefault="001C2406" w:rsidP="002951CD">
      <w:pPr>
        <w:numPr>
          <w:ilvl w:val="0"/>
          <w:numId w:val="39"/>
        </w:numPr>
        <w:shd w:val="clear" w:color="auto" w:fill="FFFFFF"/>
        <w:spacing w:before="100" w:beforeAutospacing="1" w:after="100" w:afterAutospacing="1"/>
        <w:rPr>
          <w:rFonts w:asciiTheme="majorHAnsi" w:eastAsia="Times New Roman" w:hAnsiTheme="majorHAnsi"/>
          <w:color w:val="000000"/>
        </w:rPr>
      </w:pPr>
      <w:r>
        <w:rPr>
          <w:rFonts w:asciiTheme="majorHAnsi" w:eastAsia="Times New Roman" w:hAnsiTheme="majorHAnsi"/>
          <w:color w:val="000000"/>
        </w:rPr>
        <w:t>I</w:t>
      </w:r>
      <w:r w:rsidR="00BC58A4" w:rsidRPr="00BC58A4">
        <w:rPr>
          <w:rFonts w:asciiTheme="majorHAnsi" w:eastAsia="Times New Roman" w:hAnsiTheme="majorHAnsi"/>
          <w:color w:val="000000"/>
        </w:rPr>
        <w:t>s the</w:t>
      </w:r>
      <w:r>
        <w:rPr>
          <w:rFonts w:asciiTheme="majorHAnsi" w:eastAsia="Times New Roman" w:hAnsiTheme="majorHAnsi"/>
          <w:color w:val="000000"/>
        </w:rPr>
        <w:t>re a “</w:t>
      </w:r>
      <w:r w:rsidR="00BC58A4" w:rsidRPr="00BC58A4">
        <w:rPr>
          <w:rFonts w:asciiTheme="majorHAnsi" w:eastAsia="Times New Roman" w:hAnsiTheme="majorHAnsi"/>
          <w:color w:val="000000"/>
        </w:rPr>
        <w:t>pyramid</w:t>
      </w:r>
      <w:r>
        <w:rPr>
          <w:rFonts w:asciiTheme="majorHAnsi" w:eastAsia="Times New Roman" w:hAnsiTheme="majorHAnsi"/>
          <w:color w:val="000000"/>
        </w:rPr>
        <w:t>”</w:t>
      </w:r>
      <w:r w:rsidR="00BC58A4" w:rsidRPr="00BC58A4">
        <w:rPr>
          <w:rFonts w:asciiTheme="majorHAnsi" w:eastAsia="Times New Roman" w:hAnsiTheme="majorHAnsi"/>
          <w:color w:val="000000"/>
        </w:rPr>
        <w:t xml:space="preserve"> </w:t>
      </w:r>
      <w:r w:rsidR="00707E8E">
        <w:rPr>
          <w:rFonts w:asciiTheme="majorHAnsi" w:eastAsia="Times New Roman" w:hAnsiTheme="majorHAnsi"/>
          <w:color w:val="000000"/>
        </w:rPr>
        <w:t xml:space="preserve">or step-wise progression </w:t>
      </w:r>
      <w:r w:rsidR="00BC58A4" w:rsidRPr="00BC58A4">
        <w:rPr>
          <w:rFonts w:asciiTheme="majorHAnsi" w:eastAsia="Times New Roman" w:hAnsiTheme="majorHAnsi"/>
          <w:color w:val="000000"/>
        </w:rPr>
        <w:t xml:space="preserve">of interoperability that </w:t>
      </w:r>
      <w:r>
        <w:rPr>
          <w:rFonts w:asciiTheme="majorHAnsi" w:eastAsia="Times New Roman" w:hAnsiTheme="majorHAnsi"/>
          <w:color w:val="000000"/>
        </w:rPr>
        <w:t>can</w:t>
      </w:r>
      <w:r w:rsidR="00BC58A4" w:rsidRPr="00BC58A4">
        <w:rPr>
          <w:rFonts w:asciiTheme="majorHAnsi" w:eastAsia="Times New Roman" w:hAnsiTheme="majorHAnsi"/>
          <w:color w:val="000000"/>
        </w:rPr>
        <w:t xml:space="preserve"> be</w:t>
      </w:r>
      <w:r>
        <w:rPr>
          <w:rFonts w:asciiTheme="majorHAnsi" w:eastAsia="Times New Roman" w:hAnsiTheme="majorHAnsi"/>
          <w:color w:val="000000"/>
        </w:rPr>
        <w:t xml:space="preserve"> successfully scaled up in LMIC?</w:t>
      </w:r>
    </w:p>
    <w:p w14:paraId="40FB7192" w14:textId="0B6DDF82" w:rsidR="00707E8E" w:rsidRDefault="00707E8E" w:rsidP="00707E8E">
      <w:pPr>
        <w:numPr>
          <w:ilvl w:val="1"/>
          <w:numId w:val="39"/>
        </w:numPr>
        <w:shd w:val="clear" w:color="auto" w:fill="FFFFFF"/>
        <w:spacing w:before="100" w:beforeAutospacing="1" w:after="100" w:afterAutospacing="1"/>
        <w:rPr>
          <w:rFonts w:asciiTheme="majorHAnsi" w:eastAsia="Times New Roman" w:hAnsiTheme="majorHAnsi"/>
          <w:color w:val="000000"/>
        </w:rPr>
      </w:pPr>
      <w:r>
        <w:rPr>
          <w:rFonts w:asciiTheme="majorHAnsi" w:eastAsia="Times New Roman" w:hAnsiTheme="majorHAnsi"/>
          <w:color w:val="000000"/>
        </w:rPr>
        <w:t>The review indicated that some countries may not achieve wide-spread HIE in the near future and may want to determine the most important factors for a scalable or hierarchical approach.</w:t>
      </w:r>
    </w:p>
    <w:p w14:paraId="68EE0D88" w14:textId="3BCA96C8" w:rsidR="00707E8E" w:rsidRDefault="00707E8E" w:rsidP="00707E8E">
      <w:pPr>
        <w:shd w:val="clear" w:color="auto" w:fill="FFFFFF"/>
        <w:spacing w:before="100" w:beforeAutospacing="1" w:after="100" w:afterAutospacing="1"/>
        <w:ind w:left="720"/>
        <w:rPr>
          <w:rFonts w:asciiTheme="majorHAnsi" w:eastAsia="Times New Roman" w:hAnsiTheme="majorHAnsi"/>
          <w:color w:val="000000"/>
        </w:rPr>
      </w:pPr>
    </w:p>
    <w:p w14:paraId="66074BFF" w14:textId="77777777" w:rsidR="00707E8E" w:rsidRPr="001C2406" w:rsidRDefault="00707E8E" w:rsidP="00707E8E">
      <w:pPr>
        <w:shd w:val="clear" w:color="auto" w:fill="FFFFFF"/>
        <w:spacing w:before="100" w:beforeAutospacing="1" w:after="100" w:afterAutospacing="1"/>
        <w:ind w:left="720"/>
        <w:rPr>
          <w:rFonts w:asciiTheme="majorHAnsi" w:eastAsia="Times New Roman" w:hAnsiTheme="majorHAnsi"/>
          <w:color w:val="000000"/>
        </w:rPr>
        <w:sectPr w:rsidR="00707E8E" w:rsidRPr="001C2406">
          <w:footnotePr>
            <w:numFmt w:val="lowerLetter"/>
          </w:footnotePr>
          <w:pgSz w:w="12240" w:h="15840"/>
          <w:pgMar w:top="1440" w:right="1440" w:bottom="1440" w:left="1440" w:header="720" w:footer="720" w:gutter="0"/>
          <w:cols w:space="720"/>
          <w:docGrid w:linePitch="360"/>
        </w:sectPr>
      </w:pPr>
    </w:p>
    <w:p w14:paraId="424D442A" w14:textId="77777777" w:rsidR="003E688F" w:rsidRPr="009E4800" w:rsidRDefault="009E4800" w:rsidP="00B1394A">
      <w:pPr>
        <w:pStyle w:val="ListParagraph"/>
        <w:numPr>
          <w:ilvl w:val="1"/>
          <w:numId w:val="30"/>
        </w:numPr>
        <w:jc w:val="center"/>
        <w:rPr>
          <w:rFonts w:asciiTheme="majorHAnsi" w:hAnsiTheme="majorHAnsi"/>
          <w:b/>
          <w:sz w:val="28"/>
          <w:szCs w:val="28"/>
        </w:rPr>
      </w:pPr>
      <w:bookmarkStart w:id="22" w:name="_Ref445289399"/>
      <w:r w:rsidRPr="009E4800">
        <w:rPr>
          <w:rFonts w:asciiTheme="majorHAnsi" w:hAnsiTheme="majorHAnsi"/>
          <w:b/>
          <w:sz w:val="28"/>
          <w:szCs w:val="28"/>
        </w:rPr>
        <w:t>Sidebar: Case Reporting as a Use Case</w:t>
      </w:r>
      <w:bookmarkEnd w:id="22"/>
    </w:p>
    <w:p w14:paraId="293CDC78" w14:textId="77777777" w:rsidR="003E688F" w:rsidRDefault="003E688F" w:rsidP="003E688F">
      <w:pPr>
        <w:jc w:val="center"/>
        <w:rPr>
          <w:rFonts w:asciiTheme="majorHAnsi" w:hAnsiTheme="majorHAnsi"/>
          <w:b/>
          <w:sz w:val="28"/>
          <w:szCs w:val="28"/>
        </w:rPr>
      </w:pPr>
    </w:p>
    <w:p w14:paraId="5DE45789" w14:textId="6F7ABAD4" w:rsidR="00D74981" w:rsidRDefault="00D74981" w:rsidP="00864EA2">
      <w:pPr>
        <w:rPr>
          <w:rFonts w:asciiTheme="majorHAnsi" w:hAnsiTheme="majorHAnsi"/>
        </w:rPr>
      </w:pPr>
      <w:r>
        <w:rPr>
          <w:rFonts w:asciiTheme="majorHAnsi" w:hAnsiTheme="majorHAnsi"/>
        </w:rPr>
        <w:t>This review takes a global look at HIE broadly; however informants offered examples from public health surveillance of reportable diseases as a particular use case for the movement of and systems for data. Attention to recent epidemics including Ebola and Zika virus bring issues of global health security and cross-border data sharing to the forefront.</w:t>
      </w:r>
    </w:p>
    <w:p w14:paraId="1BFF0FA5" w14:textId="77777777" w:rsidR="00D74981" w:rsidRDefault="00D74981" w:rsidP="00864EA2">
      <w:pPr>
        <w:rPr>
          <w:rFonts w:asciiTheme="majorHAnsi" w:hAnsiTheme="majorHAnsi"/>
        </w:rPr>
      </w:pPr>
    </w:p>
    <w:p w14:paraId="0BEC536D" w14:textId="048A7C08" w:rsidR="003A6A2A" w:rsidRDefault="003A6A2A" w:rsidP="00864EA2">
      <w:pPr>
        <w:rPr>
          <w:rFonts w:asciiTheme="majorHAnsi" w:hAnsiTheme="majorHAnsi"/>
        </w:rPr>
      </w:pPr>
      <w:r>
        <w:rPr>
          <w:rFonts w:asciiTheme="majorHAnsi" w:hAnsiTheme="majorHAnsi"/>
        </w:rPr>
        <w:t xml:space="preserve">Below a high-level summary of </w:t>
      </w:r>
      <w:r w:rsidR="002011E5">
        <w:rPr>
          <w:rFonts w:asciiTheme="majorHAnsi" w:hAnsiTheme="majorHAnsi"/>
        </w:rPr>
        <w:t xml:space="preserve">some </w:t>
      </w:r>
      <w:r>
        <w:rPr>
          <w:rFonts w:asciiTheme="majorHAnsi" w:hAnsiTheme="majorHAnsi"/>
        </w:rPr>
        <w:t>work in the international community for electronic case reporting as well as work ongoing in the United States</w:t>
      </w:r>
      <w:r w:rsidR="008623F6">
        <w:rPr>
          <w:rFonts w:asciiTheme="majorHAnsi" w:hAnsiTheme="majorHAnsi"/>
        </w:rPr>
        <w:t xml:space="preserve"> is presented</w:t>
      </w:r>
      <w:r>
        <w:rPr>
          <w:rFonts w:asciiTheme="majorHAnsi" w:hAnsiTheme="majorHAnsi"/>
        </w:rPr>
        <w:t>. Last, the questions/decision points that may be most relevant for case reporting from the recommended framework</w:t>
      </w:r>
      <w:r w:rsidR="008623F6">
        <w:rPr>
          <w:rFonts w:asciiTheme="majorHAnsi" w:hAnsiTheme="majorHAnsi"/>
        </w:rPr>
        <w:t xml:space="preserve"> are listed</w:t>
      </w:r>
      <w:r>
        <w:rPr>
          <w:rFonts w:asciiTheme="majorHAnsi" w:hAnsiTheme="majorHAnsi"/>
        </w:rPr>
        <w:t>.</w:t>
      </w:r>
    </w:p>
    <w:p w14:paraId="04492750" w14:textId="77777777" w:rsidR="003A6A2A" w:rsidRDefault="003A6A2A" w:rsidP="00864EA2">
      <w:pPr>
        <w:rPr>
          <w:rFonts w:asciiTheme="majorHAnsi" w:hAnsiTheme="majorHAnsi"/>
        </w:rPr>
      </w:pPr>
    </w:p>
    <w:p w14:paraId="7BEA1394" w14:textId="2CA45601" w:rsidR="00864EA2" w:rsidRDefault="003A6A2A" w:rsidP="00864EA2">
      <w:pPr>
        <w:rPr>
          <w:rFonts w:asciiTheme="majorHAnsi" w:hAnsiTheme="majorHAnsi"/>
          <w:u w:val="single"/>
        </w:rPr>
      </w:pPr>
      <w:r w:rsidRPr="006E7786">
        <w:rPr>
          <w:rFonts w:asciiTheme="majorHAnsi" w:hAnsiTheme="majorHAnsi"/>
          <w:u w:val="single"/>
        </w:rPr>
        <w:t>Case Reporting in the International Space</w:t>
      </w:r>
    </w:p>
    <w:p w14:paraId="561583FF" w14:textId="77777777" w:rsidR="00F24F0D" w:rsidRDefault="00F24F0D" w:rsidP="00864EA2">
      <w:pPr>
        <w:rPr>
          <w:rFonts w:asciiTheme="majorHAnsi" w:hAnsiTheme="majorHAnsi"/>
          <w:u w:val="single"/>
        </w:rPr>
      </w:pPr>
    </w:p>
    <w:p w14:paraId="1275AEF9" w14:textId="5782F02A" w:rsidR="00F24F0D" w:rsidRDefault="00635DE2" w:rsidP="00864EA2">
      <w:pPr>
        <w:rPr>
          <w:rFonts w:asciiTheme="majorHAnsi" w:hAnsiTheme="majorHAnsi"/>
        </w:rPr>
      </w:pPr>
      <w:r>
        <w:rPr>
          <w:rFonts w:asciiTheme="majorHAnsi" w:hAnsiTheme="majorHAnsi"/>
        </w:rPr>
        <w:t>Groups like the Centers for Disease Control and Prevention (CDC) are examining opportunities for improved HIV case reporting in LMIC. The goal is to help countries understand the epidemic situation and better plan response</w:t>
      </w:r>
      <w:r w:rsidR="007140BC">
        <w:rPr>
          <w:rFonts w:asciiTheme="majorHAnsi" w:hAnsiTheme="majorHAnsi"/>
        </w:rPr>
        <w:t>s</w:t>
      </w:r>
      <w:r>
        <w:rPr>
          <w:rFonts w:asciiTheme="majorHAnsi" w:hAnsiTheme="majorHAnsi"/>
        </w:rPr>
        <w:t>. The CDC is looking at countries where there is a mature surveillance and treatment program, patient-level data exists, and privacy laws are conducive to data sharing.</w:t>
      </w:r>
      <w:r w:rsidR="00AB3C38">
        <w:rPr>
          <w:rFonts w:asciiTheme="majorHAnsi" w:hAnsiTheme="majorHAnsi"/>
        </w:rPr>
        <w:t xml:space="preserve"> Bidirectional data flow between the point of care and administrative groups/MoH could facilitate alerts or flags for providers to be aware of changes in an epidemic and adjust their care accordingly.</w:t>
      </w:r>
    </w:p>
    <w:p w14:paraId="33495FEF" w14:textId="77777777" w:rsidR="00635DE2" w:rsidRDefault="00635DE2" w:rsidP="00864EA2">
      <w:pPr>
        <w:rPr>
          <w:rFonts w:asciiTheme="majorHAnsi" w:hAnsiTheme="majorHAnsi"/>
        </w:rPr>
      </w:pPr>
    </w:p>
    <w:p w14:paraId="20F22FEA" w14:textId="561FD232" w:rsidR="00635DE2" w:rsidRDefault="00635DE2" w:rsidP="00864EA2">
      <w:pPr>
        <w:rPr>
          <w:rFonts w:asciiTheme="majorHAnsi" w:hAnsiTheme="majorHAnsi"/>
        </w:rPr>
      </w:pPr>
      <w:r>
        <w:rPr>
          <w:rFonts w:asciiTheme="majorHAnsi" w:hAnsiTheme="majorHAnsi"/>
        </w:rPr>
        <w:t xml:space="preserve">Many LMIC today use structured paper-based HIV reporting forms which are then entered into HIS. This could facilitate increasing use of semantic standards for case reporting that can be extended to </w:t>
      </w:r>
      <w:r w:rsidR="007140BC">
        <w:rPr>
          <w:rFonts w:asciiTheme="majorHAnsi" w:hAnsiTheme="majorHAnsi"/>
        </w:rPr>
        <w:t xml:space="preserve">electronic </w:t>
      </w:r>
      <w:r>
        <w:rPr>
          <w:rFonts w:asciiTheme="majorHAnsi" w:hAnsiTheme="majorHAnsi"/>
        </w:rPr>
        <w:t xml:space="preserve">reporting of other reportable diseases using similar platforms. In fact, </w:t>
      </w:r>
      <w:r w:rsidR="007140BC">
        <w:rPr>
          <w:rFonts w:asciiTheme="majorHAnsi" w:hAnsiTheme="majorHAnsi"/>
        </w:rPr>
        <w:t xml:space="preserve">there is a strong emphasis on integrated disease surveillance for priority infectious diseases in the Ebola-affected countries </w:t>
      </w:r>
      <w:r w:rsidR="002B006B">
        <w:rPr>
          <w:rFonts w:asciiTheme="majorHAnsi" w:hAnsiTheme="majorHAnsi"/>
        </w:rPr>
        <w:t>of</w:t>
      </w:r>
      <w:r w:rsidR="007140BC">
        <w:rPr>
          <w:rFonts w:asciiTheme="majorHAnsi" w:hAnsiTheme="majorHAnsi"/>
        </w:rPr>
        <w:t xml:space="preserve"> Sierra Leone, Liberia, and Guinea.</w:t>
      </w:r>
    </w:p>
    <w:p w14:paraId="66282524" w14:textId="77777777" w:rsidR="00AB3C38" w:rsidRDefault="00AB3C38" w:rsidP="00864EA2">
      <w:pPr>
        <w:rPr>
          <w:rFonts w:asciiTheme="majorHAnsi" w:hAnsiTheme="majorHAnsi"/>
        </w:rPr>
      </w:pPr>
    </w:p>
    <w:p w14:paraId="784076C9" w14:textId="5FCF37E3" w:rsidR="00410B28" w:rsidRDefault="00AB3C38" w:rsidP="00864EA2">
      <w:pPr>
        <w:rPr>
          <w:rFonts w:asciiTheme="majorHAnsi" w:hAnsiTheme="majorHAnsi"/>
        </w:rPr>
      </w:pPr>
      <w:r>
        <w:rPr>
          <w:rFonts w:asciiTheme="majorHAnsi" w:hAnsiTheme="majorHAnsi"/>
        </w:rPr>
        <w:t xml:space="preserve">CDC is looking to pilot electronic-based HIV case reporting built on the recommendations of the Public Health Informatics Institute (PHII) for </w:t>
      </w:r>
      <w:hyperlink r:id="rId46" w:history="1">
        <w:r w:rsidRPr="00AB3C38">
          <w:rPr>
            <w:rStyle w:val="Hyperlink"/>
            <w:rFonts w:asciiTheme="majorHAnsi" w:hAnsiTheme="majorHAnsi"/>
          </w:rPr>
          <w:t>EHR-based surveillance</w:t>
        </w:r>
      </w:hyperlink>
      <w:r>
        <w:rPr>
          <w:rFonts w:asciiTheme="majorHAnsi" w:hAnsiTheme="majorHAnsi"/>
        </w:rPr>
        <w:t>.</w:t>
      </w:r>
      <w:r w:rsidR="002401F8">
        <w:rPr>
          <w:rFonts w:asciiTheme="majorHAnsi" w:hAnsiTheme="majorHAnsi"/>
        </w:rPr>
        <w:t xml:space="preserve"> These pilots will require attention to issues of patient confidentiality and patient identification for record matching</w:t>
      </w:r>
      <w:r w:rsidR="00116813">
        <w:rPr>
          <w:rFonts w:asciiTheme="majorHAnsi" w:hAnsiTheme="majorHAnsi"/>
        </w:rPr>
        <w:t xml:space="preserve">. </w:t>
      </w:r>
      <w:r w:rsidR="00433A72">
        <w:rPr>
          <w:rFonts w:asciiTheme="majorHAnsi" w:hAnsiTheme="majorHAnsi"/>
        </w:rPr>
        <w:t>At this point, electronic case reporting has not been known to be demonstrated in LMIC and early efforts are focusing on the technology infrastructure.</w:t>
      </w:r>
    </w:p>
    <w:p w14:paraId="3ACF95B1" w14:textId="77777777" w:rsidR="00495E01" w:rsidRDefault="00495E01" w:rsidP="00864EA2">
      <w:pPr>
        <w:rPr>
          <w:rFonts w:asciiTheme="majorHAnsi" w:hAnsiTheme="majorHAnsi"/>
        </w:rPr>
      </w:pPr>
    </w:p>
    <w:p w14:paraId="48AE717B" w14:textId="05D866EE" w:rsidR="00495E01" w:rsidRDefault="00495E01" w:rsidP="00864EA2">
      <w:pPr>
        <w:rPr>
          <w:rFonts w:asciiTheme="majorHAnsi" w:hAnsiTheme="majorHAnsi"/>
          <w:u w:val="single"/>
        </w:rPr>
      </w:pPr>
      <w:r>
        <w:rPr>
          <w:rFonts w:asciiTheme="majorHAnsi" w:hAnsiTheme="majorHAnsi"/>
          <w:u w:val="single"/>
        </w:rPr>
        <w:t>Case Reporting in the United States</w:t>
      </w:r>
    </w:p>
    <w:p w14:paraId="428F12FE" w14:textId="77777777" w:rsidR="00495E01" w:rsidRPr="00495E01" w:rsidRDefault="00495E01" w:rsidP="00864EA2">
      <w:pPr>
        <w:rPr>
          <w:rFonts w:asciiTheme="majorHAnsi" w:hAnsiTheme="majorHAnsi"/>
          <w:u w:val="single"/>
        </w:rPr>
      </w:pPr>
    </w:p>
    <w:p w14:paraId="6A11BC87" w14:textId="7EE93495" w:rsidR="00410B28" w:rsidRDefault="00116813" w:rsidP="00864EA2">
      <w:pPr>
        <w:rPr>
          <w:rFonts w:asciiTheme="majorHAnsi" w:hAnsiTheme="majorHAnsi"/>
        </w:rPr>
      </w:pPr>
      <w:r>
        <w:rPr>
          <w:rFonts w:asciiTheme="majorHAnsi" w:hAnsiTheme="majorHAnsi"/>
        </w:rPr>
        <w:t>The U.S. has a system characterized by a “network of networks” with electronic case reporting occurring in a number of regional and private networks using different standards. The U.S. is working toward national electronic case reporting to the CDC.</w:t>
      </w:r>
      <w:r w:rsidR="0000537C">
        <w:rPr>
          <w:rFonts w:asciiTheme="majorHAnsi" w:hAnsiTheme="majorHAnsi"/>
        </w:rPr>
        <w:t xml:space="preserve"> Decisions on the content exchange standard at a national level proved to be one of the major </w:t>
      </w:r>
      <w:r w:rsidR="00372468">
        <w:rPr>
          <w:rFonts w:asciiTheme="majorHAnsi" w:hAnsiTheme="majorHAnsi"/>
        </w:rPr>
        <w:t xml:space="preserve">decision </w:t>
      </w:r>
      <w:r w:rsidR="0000537C">
        <w:rPr>
          <w:rFonts w:asciiTheme="majorHAnsi" w:hAnsiTheme="majorHAnsi"/>
        </w:rPr>
        <w:t>points. In approaching these decisions, the U.S. utilized a different PHII tool</w:t>
      </w:r>
      <w:r w:rsidR="002147D7">
        <w:rPr>
          <w:rFonts w:asciiTheme="majorHAnsi" w:hAnsiTheme="majorHAnsi"/>
        </w:rPr>
        <w:t>,</w:t>
      </w:r>
      <w:r w:rsidR="0000537C">
        <w:rPr>
          <w:rFonts w:asciiTheme="majorHAnsi" w:hAnsiTheme="majorHAnsi"/>
        </w:rPr>
        <w:t xml:space="preserve"> </w:t>
      </w:r>
      <w:hyperlink r:id="rId47" w:history="1">
        <w:r w:rsidR="0000537C" w:rsidRPr="0000537C">
          <w:rPr>
            <w:rStyle w:val="Hyperlink"/>
            <w:rFonts w:asciiTheme="majorHAnsi" w:hAnsiTheme="majorHAnsi"/>
          </w:rPr>
          <w:t>Taking Care of Business</w:t>
        </w:r>
      </w:hyperlink>
      <w:r w:rsidR="002147D7">
        <w:rPr>
          <w:rFonts w:asciiTheme="majorHAnsi" w:hAnsiTheme="majorHAnsi"/>
        </w:rPr>
        <w:t>,</w:t>
      </w:r>
      <w:r w:rsidR="0000537C">
        <w:rPr>
          <w:rFonts w:asciiTheme="majorHAnsi" w:hAnsiTheme="majorHAnsi"/>
        </w:rPr>
        <w:t xml:space="preserve"> to define the business processes that affect electronic case reporting. The document also describes how public health entities can approach business process analysis and redesign to achieve the goal.</w:t>
      </w:r>
    </w:p>
    <w:p w14:paraId="350D5472" w14:textId="77777777" w:rsidR="005C116D" w:rsidRDefault="005C116D" w:rsidP="00864EA2">
      <w:pPr>
        <w:rPr>
          <w:rFonts w:asciiTheme="majorHAnsi" w:hAnsiTheme="majorHAnsi"/>
        </w:rPr>
      </w:pPr>
    </w:p>
    <w:p w14:paraId="5B6D7B0B" w14:textId="0B9974A5" w:rsidR="005C116D" w:rsidRDefault="005C116D" w:rsidP="00864EA2">
      <w:pPr>
        <w:rPr>
          <w:rFonts w:asciiTheme="majorHAnsi" w:hAnsiTheme="majorHAnsi"/>
        </w:rPr>
      </w:pPr>
      <w:r>
        <w:rPr>
          <w:rFonts w:asciiTheme="majorHAnsi" w:hAnsiTheme="majorHAnsi"/>
        </w:rPr>
        <w:t xml:space="preserve">The U.S. is pursuing a structured data capture (SDC) model </w:t>
      </w:r>
      <w:r w:rsidR="00A4456F">
        <w:rPr>
          <w:rFonts w:asciiTheme="majorHAnsi" w:hAnsiTheme="majorHAnsi"/>
        </w:rPr>
        <w:t>for electronic case reporting that pre-populates the electronic case report form with information already in the EHR and provides structured data fields for providers to complete the rest of the required case information. Because of the existing networks and processes in place for electronic case reporting, the community has to work through issues of standardization and business process alignment across the nation. This may be applicable to LMIC – an SDC</w:t>
      </w:r>
      <w:r w:rsidR="00B8055A">
        <w:rPr>
          <w:rFonts w:asciiTheme="majorHAnsi" w:hAnsiTheme="majorHAnsi"/>
        </w:rPr>
        <w:t>-like</w:t>
      </w:r>
      <w:r w:rsidR="00A4456F">
        <w:rPr>
          <w:rFonts w:asciiTheme="majorHAnsi" w:hAnsiTheme="majorHAnsi"/>
        </w:rPr>
        <w:t xml:space="preserve"> model may be more efficiently implemented where there is one or just a few platform(s) or EHR system(s) in place.</w:t>
      </w:r>
    </w:p>
    <w:p w14:paraId="0422A16C" w14:textId="77777777" w:rsidR="00864EA2" w:rsidRDefault="00864EA2" w:rsidP="00864EA2">
      <w:pPr>
        <w:rPr>
          <w:rFonts w:asciiTheme="majorHAnsi" w:hAnsiTheme="majorHAnsi"/>
        </w:rPr>
      </w:pPr>
    </w:p>
    <w:p w14:paraId="3F97622F" w14:textId="52F60AC7" w:rsidR="00864EA2" w:rsidRDefault="00864EA2" w:rsidP="00864EA2">
      <w:pPr>
        <w:rPr>
          <w:rFonts w:asciiTheme="majorHAnsi" w:hAnsiTheme="majorHAnsi"/>
          <w:u w:val="single"/>
        </w:rPr>
      </w:pPr>
      <w:r w:rsidRPr="00495E01">
        <w:rPr>
          <w:rFonts w:asciiTheme="majorHAnsi" w:hAnsiTheme="majorHAnsi"/>
          <w:u w:val="single"/>
        </w:rPr>
        <w:t xml:space="preserve">HIE </w:t>
      </w:r>
      <w:r w:rsidR="00495E01" w:rsidRPr="00495E01">
        <w:rPr>
          <w:rFonts w:asciiTheme="majorHAnsi" w:hAnsiTheme="majorHAnsi"/>
          <w:u w:val="single"/>
        </w:rPr>
        <w:t>D</w:t>
      </w:r>
      <w:r w:rsidRPr="00495E01">
        <w:rPr>
          <w:rFonts w:asciiTheme="majorHAnsi" w:hAnsiTheme="majorHAnsi"/>
          <w:u w:val="single"/>
        </w:rPr>
        <w:t xml:space="preserve">ecision </w:t>
      </w:r>
      <w:r w:rsidR="00495E01" w:rsidRPr="00495E01">
        <w:rPr>
          <w:rFonts w:asciiTheme="majorHAnsi" w:hAnsiTheme="majorHAnsi"/>
          <w:u w:val="single"/>
        </w:rPr>
        <w:t>P</w:t>
      </w:r>
      <w:r w:rsidRPr="00495E01">
        <w:rPr>
          <w:rFonts w:asciiTheme="majorHAnsi" w:hAnsiTheme="majorHAnsi"/>
          <w:u w:val="single"/>
        </w:rPr>
        <w:t xml:space="preserve">oints </w:t>
      </w:r>
      <w:r w:rsidR="00495E01" w:rsidRPr="00495E01">
        <w:rPr>
          <w:rFonts w:asciiTheme="majorHAnsi" w:hAnsiTheme="majorHAnsi"/>
          <w:u w:val="single"/>
        </w:rPr>
        <w:t>Applicable to Case Reporting</w:t>
      </w:r>
    </w:p>
    <w:p w14:paraId="3394C1B6" w14:textId="77777777" w:rsidR="00C41D32" w:rsidRDefault="00C41D32" w:rsidP="00864EA2">
      <w:pPr>
        <w:rPr>
          <w:rFonts w:asciiTheme="majorHAnsi" w:hAnsiTheme="majorHAnsi"/>
          <w:u w:val="single"/>
        </w:rPr>
      </w:pPr>
    </w:p>
    <w:p w14:paraId="6CD82F65" w14:textId="4FC4EC03" w:rsidR="00C41D32" w:rsidRDefault="00C41D32" w:rsidP="00864EA2">
      <w:pPr>
        <w:rPr>
          <w:rFonts w:asciiTheme="majorHAnsi" w:hAnsiTheme="majorHAnsi"/>
        </w:rPr>
      </w:pPr>
      <w:r>
        <w:rPr>
          <w:rFonts w:asciiTheme="majorHAnsi" w:hAnsiTheme="majorHAnsi"/>
        </w:rPr>
        <w:t xml:space="preserve">Based on the information provided by </w:t>
      </w:r>
      <w:r w:rsidR="0019119E">
        <w:rPr>
          <w:rFonts w:asciiTheme="majorHAnsi" w:hAnsiTheme="majorHAnsi"/>
        </w:rPr>
        <w:t xml:space="preserve">contributors </w:t>
      </w:r>
      <w:r>
        <w:rPr>
          <w:rFonts w:asciiTheme="majorHAnsi" w:hAnsiTheme="majorHAnsi"/>
        </w:rPr>
        <w:t>during</w:t>
      </w:r>
      <w:r w:rsidR="00E975E6">
        <w:rPr>
          <w:rFonts w:asciiTheme="majorHAnsi" w:hAnsiTheme="majorHAnsi"/>
        </w:rPr>
        <w:t xml:space="preserve"> the review, the relevant decision-points for electronic case reporting from the general framework</w:t>
      </w:r>
      <w:r w:rsidR="00051268">
        <w:rPr>
          <w:rFonts w:asciiTheme="majorHAnsi" w:hAnsiTheme="majorHAnsi"/>
        </w:rPr>
        <w:t xml:space="preserve"> are listed</w:t>
      </w:r>
      <w:r w:rsidR="00E975E6">
        <w:rPr>
          <w:rFonts w:asciiTheme="majorHAnsi" w:hAnsiTheme="majorHAnsi"/>
        </w:rPr>
        <w:t>.</w:t>
      </w:r>
      <w:r w:rsidR="00DF3F9A">
        <w:rPr>
          <w:rFonts w:asciiTheme="majorHAnsi" w:hAnsiTheme="majorHAnsi"/>
        </w:rPr>
        <w:t xml:space="preserve"> Almost all decision-points in the framework apply.</w:t>
      </w:r>
    </w:p>
    <w:p w14:paraId="1DD8F4C4" w14:textId="77777777" w:rsidR="00E975E6" w:rsidRDefault="00E975E6" w:rsidP="00864EA2">
      <w:pPr>
        <w:rPr>
          <w:rFonts w:asciiTheme="majorHAnsi" w:hAnsiTheme="majorHAnsi"/>
        </w:rPr>
      </w:pPr>
    </w:p>
    <w:p w14:paraId="256D0179" w14:textId="77777777" w:rsidR="00B66EA9" w:rsidRPr="005102FB" w:rsidRDefault="00B66EA9" w:rsidP="00B66EA9">
      <w:pPr>
        <w:rPr>
          <w:rFonts w:asciiTheme="majorHAnsi" w:hAnsiTheme="majorHAnsi"/>
          <w:b/>
        </w:rPr>
      </w:pPr>
      <w:r w:rsidRPr="005102FB">
        <w:rPr>
          <w:rFonts w:asciiTheme="majorHAnsi" w:hAnsiTheme="majorHAnsi"/>
          <w:b/>
        </w:rPr>
        <w:t>Vision &amp; Strategy</w:t>
      </w:r>
    </w:p>
    <w:p w14:paraId="61DE45D6"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What are the key goals and outcomes for HIE and interoperability?</w:t>
      </w:r>
    </w:p>
    <w:p w14:paraId="272A1C81" w14:textId="02260D1E"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 xml:space="preserve">Will </w:t>
      </w:r>
      <w:r>
        <w:rPr>
          <w:rFonts w:asciiTheme="majorHAnsi" w:hAnsiTheme="majorHAnsi"/>
        </w:rPr>
        <w:t xml:space="preserve">the </w:t>
      </w:r>
      <w:r w:rsidRPr="005102FB">
        <w:rPr>
          <w:rFonts w:asciiTheme="majorHAnsi" w:hAnsiTheme="majorHAnsi"/>
        </w:rPr>
        <w:t xml:space="preserve">data be </w:t>
      </w:r>
      <w:r>
        <w:rPr>
          <w:rFonts w:asciiTheme="majorHAnsi" w:hAnsiTheme="majorHAnsi"/>
        </w:rPr>
        <w:t>at the</w:t>
      </w:r>
      <w:r w:rsidRPr="005102FB">
        <w:rPr>
          <w:rFonts w:asciiTheme="majorHAnsi" w:hAnsiTheme="majorHAnsi"/>
        </w:rPr>
        <w:t xml:space="preserve"> individual </w:t>
      </w:r>
      <w:r>
        <w:rPr>
          <w:rFonts w:asciiTheme="majorHAnsi" w:hAnsiTheme="majorHAnsi"/>
        </w:rPr>
        <w:t>patient level or an aggregate level</w:t>
      </w:r>
      <w:r w:rsidRPr="005102FB">
        <w:rPr>
          <w:rFonts w:asciiTheme="majorHAnsi" w:hAnsiTheme="majorHAnsi"/>
        </w:rPr>
        <w:t>?</w:t>
      </w:r>
    </w:p>
    <w:p w14:paraId="729D1448"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Will data be exchanged within country, with other countries, or both?</w:t>
      </w:r>
    </w:p>
    <w:p w14:paraId="0F2008E4"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Where are data collected and stored in the current state?</w:t>
      </w:r>
    </w:p>
    <w:p w14:paraId="5B01DA88"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Which groups are the current main stakeholders?</w:t>
      </w:r>
    </w:p>
    <w:p w14:paraId="71298D16"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Are there additional groups that should be engaged?</w:t>
      </w:r>
    </w:p>
    <w:p w14:paraId="62168498"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Who owns or stewards the data?</w:t>
      </w:r>
    </w:p>
    <w:p w14:paraId="14E9A1F3"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What groups of patients and consumers will be affected by HIE?</w:t>
      </w:r>
    </w:p>
    <w:p w14:paraId="61F69BE0"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Are there special issues affecting certain groups of the population that should be considered?</w:t>
      </w:r>
    </w:p>
    <w:p w14:paraId="4CC6CDD8"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What are likely areas of challenges or where additional expertise may be needed?</w:t>
      </w:r>
    </w:p>
    <w:p w14:paraId="01D3BFC6"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Is there strong support or a champion/ influencer at the national or regional level?</w:t>
      </w:r>
    </w:p>
    <w:p w14:paraId="3370BC6A" w14:textId="77777777" w:rsidR="00B66EA9" w:rsidRDefault="00B66EA9" w:rsidP="00B66EA9">
      <w:pPr>
        <w:pStyle w:val="ListParagraph"/>
        <w:numPr>
          <w:ilvl w:val="0"/>
          <w:numId w:val="22"/>
        </w:numPr>
        <w:rPr>
          <w:rFonts w:asciiTheme="majorHAnsi" w:hAnsiTheme="majorHAnsi"/>
        </w:rPr>
      </w:pPr>
      <w:r w:rsidRPr="005102FB">
        <w:rPr>
          <w:rFonts w:asciiTheme="majorHAnsi" w:hAnsiTheme="majorHAnsi"/>
        </w:rPr>
        <w:t>Have issues of data provenance been considered?</w:t>
      </w:r>
    </w:p>
    <w:p w14:paraId="06F8EBCE" w14:textId="77777777" w:rsidR="00B66EA9" w:rsidRDefault="00B66EA9" w:rsidP="00B66EA9">
      <w:pPr>
        <w:rPr>
          <w:rFonts w:asciiTheme="majorHAnsi" w:hAnsiTheme="majorHAnsi"/>
        </w:rPr>
      </w:pPr>
    </w:p>
    <w:p w14:paraId="167AF848" w14:textId="77777777" w:rsidR="00B66EA9" w:rsidRDefault="00B66EA9" w:rsidP="00B66EA9">
      <w:pPr>
        <w:rPr>
          <w:rFonts w:asciiTheme="majorHAnsi" w:hAnsiTheme="majorHAnsi"/>
        </w:rPr>
      </w:pPr>
      <w:r>
        <w:rPr>
          <w:rFonts w:asciiTheme="majorHAnsi" w:hAnsiTheme="majorHAnsi"/>
          <w:b/>
        </w:rPr>
        <w:t>Governance</w:t>
      </w:r>
    </w:p>
    <w:p w14:paraId="0693AFB6"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Are all exchange participants bound to a common governance or trust framework?</w:t>
      </w:r>
    </w:p>
    <w:p w14:paraId="6AC88C84" w14:textId="77777777" w:rsidR="00B66EA9" w:rsidRPr="005102FB" w:rsidRDefault="00B66EA9" w:rsidP="00B66EA9">
      <w:pPr>
        <w:pStyle w:val="ListParagraph"/>
        <w:numPr>
          <w:ilvl w:val="0"/>
          <w:numId w:val="22"/>
        </w:numPr>
        <w:rPr>
          <w:rFonts w:asciiTheme="majorHAnsi" w:hAnsiTheme="majorHAnsi"/>
        </w:rPr>
      </w:pPr>
      <w:r w:rsidRPr="005102FB">
        <w:rPr>
          <w:rFonts w:asciiTheme="majorHAnsi" w:hAnsiTheme="majorHAnsi"/>
        </w:rPr>
        <w:t>(Depends if governance is for case reporting only or for other use cases) Does the governance framework apply to specific use cases, or is it enterprise-wide?</w:t>
      </w:r>
    </w:p>
    <w:p w14:paraId="2AC39506" w14:textId="77777777" w:rsidR="00B66EA9" w:rsidRDefault="00B66EA9" w:rsidP="00B66EA9">
      <w:pPr>
        <w:pStyle w:val="ListParagraph"/>
        <w:numPr>
          <w:ilvl w:val="0"/>
          <w:numId w:val="23"/>
        </w:numPr>
        <w:rPr>
          <w:rFonts w:asciiTheme="majorHAnsi" w:hAnsiTheme="majorHAnsi"/>
        </w:rPr>
      </w:pPr>
      <w:r>
        <w:rPr>
          <w:rFonts w:asciiTheme="majorHAnsi" w:hAnsiTheme="majorHAnsi"/>
        </w:rPr>
        <w:t>If the framework applies to one or a few use cases, can it be expanded to apply for more use cases?</w:t>
      </w:r>
    </w:p>
    <w:p w14:paraId="2C38BE67" w14:textId="77777777" w:rsidR="00B66EA9" w:rsidRDefault="00B66EA9" w:rsidP="00B66EA9">
      <w:pPr>
        <w:pStyle w:val="ListParagraph"/>
        <w:numPr>
          <w:ilvl w:val="0"/>
          <w:numId w:val="23"/>
        </w:numPr>
        <w:rPr>
          <w:rFonts w:asciiTheme="majorHAnsi" w:hAnsiTheme="majorHAnsi"/>
        </w:rPr>
      </w:pPr>
      <w:r>
        <w:rPr>
          <w:rFonts w:asciiTheme="majorHAnsi" w:hAnsiTheme="majorHAnsi"/>
        </w:rPr>
        <w:t>What aspects are included in a governance framework?</w:t>
      </w:r>
    </w:p>
    <w:p w14:paraId="17ED4A3D" w14:textId="77777777" w:rsidR="00B66EA9" w:rsidRPr="005102FB" w:rsidRDefault="00B66EA9" w:rsidP="00B66EA9">
      <w:pPr>
        <w:pStyle w:val="ListParagraph"/>
        <w:numPr>
          <w:ilvl w:val="0"/>
          <w:numId w:val="23"/>
        </w:numPr>
        <w:rPr>
          <w:rFonts w:asciiTheme="majorHAnsi" w:hAnsiTheme="majorHAnsi"/>
        </w:rPr>
      </w:pPr>
      <w:r w:rsidRPr="005102FB">
        <w:rPr>
          <w:rFonts w:asciiTheme="majorHAnsi" w:hAnsiTheme="majorHAnsi"/>
        </w:rPr>
        <w:t>Who are the major stakeholder groups affected by HIE and interoperability, and are they represented?</w:t>
      </w:r>
    </w:p>
    <w:p w14:paraId="0545D151" w14:textId="77777777" w:rsidR="00B66EA9" w:rsidRDefault="00B66EA9" w:rsidP="00B66EA9">
      <w:pPr>
        <w:pStyle w:val="ListParagraph"/>
        <w:numPr>
          <w:ilvl w:val="0"/>
          <w:numId w:val="23"/>
        </w:numPr>
        <w:rPr>
          <w:rFonts w:asciiTheme="majorHAnsi" w:hAnsiTheme="majorHAnsi"/>
        </w:rPr>
      </w:pPr>
      <w:r>
        <w:rPr>
          <w:rFonts w:asciiTheme="majorHAnsi" w:hAnsiTheme="majorHAnsi"/>
        </w:rPr>
        <w:t>Does the governance structure include representatives from the public sector, private sector, or both?</w:t>
      </w:r>
    </w:p>
    <w:p w14:paraId="627BCB05" w14:textId="77777777" w:rsidR="00B66EA9" w:rsidRDefault="00B66EA9" w:rsidP="00B66EA9">
      <w:pPr>
        <w:rPr>
          <w:rFonts w:asciiTheme="majorHAnsi" w:hAnsiTheme="majorHAnsi"/>
        </w:rPr>
      </w:pPr>
    </w:p>
    <w:p w14:paraId="42285A4E" w14:textId="77777777" w:rsidR="00B66EA9" w:rsidRDefault="00B66EA9" w:rsidP="00B66EA9">
      <w:pPr>
        <w:rPr>
          <w:rFonts w:asciiTheme="majorHAnsi" w:hAnsiTheme="majorHAnsi"/>
          <w:b/>
        </w:rPr>
      </w:pPr>
      <w:r>
        <w:rPr>
          <w:rFonts w:asciiTheme="majorHAnsi" w:hAnsiTheme="majorHAnsi"/>
          <w:b/>
        </w:rPr>
        <w:t>HIE Policies &amp; Procedures – General</w:t>
      </w:r>
    </w:p>
    <w:p w14:paraId="211D33DC" w14:textId="77777777" w:rsidR="00B66EA9" w:rsidRDefault="00B66EA9" w:rsidP="00B66EA9">
      <w:pPr>
        <w:pStyle w:val="ListParagraph"/>
        <w:numPr>
          <w:ilvl w:val="0"/>
          <w:numId w:val="24"/>
        </w:numPr>
        <w:rPr>
          <w:rFonts w:asciiTheme="majorHAnsi" w:hAnsiTheme="majorHAnsi"/>
        </w:rPr>
      </w:pPr>
      <w:r>
        <w:rPr>
          <w:rFonts w:asciiTheme="majorHAnsi" w:hAnsiTheme="majorHAnsi"/>
        </w:rPr>
        <w:t>How will patients be uniquely identified or matched?</w:t>
      </w:r>
    </w:p>
    <w:p w14:paraId="785B4A5F" w14:textId="77777777" w:rsidR="00B66EA9" w:rsidRDefault="00B66EA9" w:rsidP="00B66EA9">
      <w:pPr>
        <w:pStyle w:val="ListParagraph"/>
        <w:numPr>
          <w:ilvl w:val="0"/>
          <w:numId w:val="24"/>
        </w:numPr>
        <w:rPr>
          <w:rFonts w:asciiTheme="majorHAnsi" w:hAnsiTheme="majorHAnsi"/>
        </w:rPr>
      </w:pPr>
      <w:r>
        <w:rPr>
          <w:rFonts w:asciiTheme="majorHAnsi" w:hAnsiTheme="majorHAnsi"/>
        </w:rPr>
        <w:t>What kind of patient consent policy will be implemented? Who will “own” or “steward” the data?</w:t>
      </w:r>
    </w:p>
    <w:p w14:paraId="61411B57" w14:textId="77777777" w:rsidR="00B66EA9" w:rsidRDefault="00B66EA9" w:rsidP="00B66EA9">
      <w:pPr>
        <w:rPr>
          <w:rFonts w:asciiTheme="majorHAnsi" w:hAnsiTheme="majorHAnsi"/>
        </w:rPr>
      </w:pPr>
    </w:p>
    <w:p w14:paraId="19C2C9FA" w14:textId="77777777" w:rsidR="00B66EA9" w:rsidRDefault="00B66EA9" w:rsidP="00B66EA9">
      <w:pPr>
        <w:rPr>
          <w:rFonts w:asciiTheme="majorHAnsi" w:hAnsiTheme="majorHAnsi"/>
          <w:b/>
        </w:rPr>
      </w:pPr>
      <w:r>
        <w:rPr>
          <w:rFonts w:asciiTheme="majorHAnsi" w:hAnsiTheme="majorHAnsi"/>
          <w:b/>
        </w:rPr>
        <w:t>HIE Policies &amp; Procedures – Standards &amp; Interoperability</w:t>
      </w:r>
    </w:p>
    <w:p w14:paraId="60CB287A" w14:textId="77777777" w:rsidR="00B66EA9" w:rsidRPr="005102FB" w:rsidRDefault="00B66EA9" w:rsidP="00B66EA9">
      <w:pPr>
        <w:pStyle w:val="ListParagraph"/>
        <w:numPr>
          <w:ilvl w:val="0"/>
          <w:numId w:val="25"/>
        </w:numPr>
        <w:rPr>
          <w:rFonts w:asciiTheme="majorHAnsi" w:hAnsiTheme="majorHAnsi"/>
          <w:b/>
        </w:rPr>
      </w:pPr>
      <w:r>
        <w:rPr>
          <w:rFonts w:asciiTheme="majorHAnsi" w:hAnsiTheme="majorHAnsi"/>
        </w:rPr>
        <w:t>Is there a minimum common data set that should be collected/exchanged?</w:t>
      </w:r>
    </w:p>
    <w:p w14:paraId="6CDCB40C" w14:textId="77777777" w:rsidR="00B66EA9" w:rsidRPr="005102FB" w:rsidRDefault="00B66EA9" w:rsidP="00B66EA9">
      <w:pPr>
        <w:pStyle w:val="ListParagraph"/>
        <w:numPr>
          <w:ilvl w:val="0"/>
          <w:numId w:val="25"/>
        </w:numPr>
        <w:rPr>
          <w:rFonts w:asciiTheme="majorHAnsi" w:hAnsiTheme="majorHAnsi"/>
          <w:b/>
        </w:rPr>
      </w:pPr>
      <w:r>
        <w:rPr>
          <w:rFonts w:asciiTheme="majorHAnsi" w:hAnsiTheme="majorHAnsi"/>
        </w:rPr>
        <w:t>Is there a minimum set of interoperability standards requirements (e.g., terminology standards, content exchange standards)?</w:t>
      </w:r>
    </w:p>
    <w:p w14:paraId="69F4277E" w14:textId="77777777" w:rsidR="00B66EA9" w:rsidRPr="005102FB" w:rsidRDefault="00B66EA9" w:rsidP="00B66EA9">
      <w:pPr>
        <w:pStyle w:val="ListParagraph"/>
        <w:numPr>
          <w:ilvl w:val="0"/>
          <w:numId w:val="25"/>
        </w:numPr>
        <w:rPr>
          <w:rFonts w:asciiTheme="majorHAnsi" w:hAnsiTheme="majorHAnsi"/>
          <w:b/>
        </w:rPr>
      </w:pPr>
      <w:r>
        <w:rPr>
          <w:rFonts w:asciiTheme="majorHAnsi" w:hAnsiTheme="majorHAnsi"/>
        </w:rPr>
        <w:t>Are participants required or encouraged to implement the same technology platform?</w:t>
      </w:r>
    </w:p>
    <w:p w14:paraId="569C05A2" w14:textId="77777777" w:rsidR="00B66EA9" w:rsidRPr="005102FB" w:rsidRDefault="00B66EA9" w:rsidP="00B66EA9">
      <w:pPr>
        <w:pStyle w:val="ListParagraph"/>
        <w:numPr>
          <w:ilvl w:val="0"/>
          <w:numId w:val="25"/>
        </w:numPr>
        <w:rPr>
          <w:rFonts w:asciiTheme="majorHAnsi" w:hAnsiTheme="majorHAnsi"/>
          <w:b/>
        </w:rPr>
      </w:pPr>
      <w:r>
        <w:rPr>
          <w:rFonts w:asciiTheme="majorHAnsi" w:hAnsiTheme="majorHAnsi"/>
        </w:rPr>
        <w:t>Are participants able to use multiple transport methods?</w:t>
      </w:r>
    </w:p>
    <w:p w14:paraId="3A90F12B" w14:textId="77777777" w:rsidR="00B66EA9" w:rsidRDefault="00B66EA9" w:rsidP="00B66EA9">
      <w:pPr>
        <w:rPr>
          <w:rFonts w:asciiTheme="majorHAnsi" w:hAnsiTheme="majorHAnsi"/>
          <w:b/>
        </w:rPr>
      </w:pPr>
    </w:p>
    <w:p w14:paraId="6580C5E0" w14:textId="77777777" w:rsidR="00B66EA9" w:rsidRDefault="00B66EA9" w:rsidP="00B66EA9">
      <w:pPr>
        <w:rPr>
          <w:rFonts w:asciiTheme="majorHAnsi" w:hAnsiTheme="majorHAnsi"/>
        </w:rPr>
      </w:pPr>
      <w:r>
        <w:rPr>
          <w:rFonts w:asciiTheme="majorHAnsi" w:hAnsiTheme="majorHAnsi"/>
          <w:b/>
        </w:rPr>
        <w:t>HIE Policies &amp; Procedures – Privacy &amp; Security</w:t>
      </w:r>
    </w:p>
    <w:p w14:paraId="1834189D" w14:textId="77777777" w:rsidR="00B66EA9" w:rsidRDefault="00B66EA9" w:rsidP="00B66EA9">
      <w:pPr>
        <w:pStyle w:val="ListParagraph"/>
        <w:numPr>
          <w:ilvl w:val="0"/>
          <w:numId w:val="26"/>
        </w:numPr>
        <w:rPr>
          <w:rFonts w:asciiTheme="majorHAnsi" w:hAnsiTheme="majorHAnsi"/>
        </w:rPr>
      </w:pPr>
      <w:r>
        <w:rPr>
          <w:rFonts w:asciiTheme="majorHAnsi" w:hAnsiTheme="majorHAnsi"/>
        </w:rPr>
        <w:t>Are there existing national laws regarding privacy and security requirements for health data?</w:t>
      </w:r>
    </w:p>
    <w:p w14:paraId="21A10AA4" w14:textId="77777777" w:rsidR="00B66EA9" w:rsidRDefault="00B66EA9" w:rsidP="00B66EA9">
      <w:pPr>
        <w:pStyle w:val="ListParagraph"/>
        <w:numPr>
          <w:ilvl w:val="0"/>
          <w:numId w:val="26"/>
        </w:numPr>
        <w:rPr>
          <w:rFonts w:asciiTheme="majorHAnsi" w:hAnsiTheme="majorHAnsi"/>
        </w:rPr>
      </w:pPr>
      <w:r>
        <w:rPr>
          <w:rFonts w:asciiTheme="majorHAnsi" w:hAnsiTheme="majorHAnsi"/>
        </w:rPr>
        <w:t>What kind of identification and authentication process will be used to grant data access to users?</w:t>
      </w:r>
    </w:p>
    <w:p w14:paraId="3A21F39F" w14:textId="77777777" w:rsidR="00B66EA9" w:rsidRDefault="00B66EA9" w:rsidP="00B66EA9">
      <w:pPr>
        <w:rPr>
          <w:rFonts w:asciiTheme="majorHAnsi" w:hAnsiTheme="majorHAnsi"/>
        </w:rPr>
      </w:pPr>
    </w:p>
    <w:p w14:paraId="438BDD86" w14:textId="77777777" w:rsidR="00B66EA9" w:rsidRDefault="00B66EA9" w:rsidP="00B66EA9">
      <w:pPr>
        <w:rPr>
          <w:rFonts w:asciiTheme="majorHAnsi" w:hAnsiTheme="majorHAnsi"/>
          <w:b/>
        </w:rPr>
      </w:pPr>
      <w:r>
        <w:rPr>
          <w:rFonts w:asciiTheme="majorHAnsi" w:hAnsiTheme="majorHAnsi"/>
          <w:b/>
        </w:rPr>
        <w:t>HIE Policies &amp; Procedures – Data Use Agreements</w:t>
      </w:r>
    </w:p>
    <w:p w14:paraId="67BE3173" w14:textId="2576A2F9" w:rsidR="00B66EA9" w:rsidRPr="005102FB" w:rsidRDefault="00B66EA9" w:rsidP="00B66EA9">
      <w:pPr>
        <w:pStyle w:val="ListParagraph"/>
        <w:numPr>
          <w:ilvl w:val="0"/>
          <w:numId w:val="27"/>
        </w:numPr>
        <w:rPr>
          <w:rFonts w:asciiTheme="majorHAnsi" w:hAnsiTheme="majorHAnsi"/>
          <w:b/>
        </w:rPr>
      </w:pPr>
      <w:r>
        <w:rPr>
          <w:rFonts w:asciiTheme="majorHAnsi" w:hAnsiTheme="majorHAnsi"/>
        </w:rPr>
        <w:t>Key question – What is the anticipated use of data (site-to-site sharing or regional/national data sharing? What type of data sharing agreement may be needed to support the outcome? (e.g., a scalable, multi-party data use and exchange agreement or point-to-point agreements)?</w:t>
      </w:r>
    </w:p>
    <w:p w14:paraId="067BE578" w14:textId="77777777" w:rsidR="00B66EA9" w:rsidRPr="00040F86" w:rsidRDefault="00B66EA9" w:rsidP="00B66EA9">
      <w:pPr>
        <w:pStyle w:val="ListParagraph"/>
        <w:numPr>
          <w:ilvl w:val="0"/>
          <w:numId w:val="27"/>
        </w:numPr>
        <w:rPr>
          <w:rFonts w:asciiTheme="majorHAnsi" w:hAnsiTheme="majorHAnsi"/>
          <w:b/>
        </w:rPr>
      </w:pPr>
      <w:r>
        <w:rPr>
          <w:rFonts w:asciiTheme="majorHAnsi" w:hAnsiTheme="majorHAnsi"/>
          <w:b/>
        </w:rPr>
        <w:t>Note</w:t>
      </w:r>
      <w:r>
        <w:rPr>
          <w:rFonts w:asciiTheme="majorHAnsi" w:hAnsiTheme="majorHAnsi"/>
        </w:rPr>
        <w:t xml:space="preserve"> – the following questions will only apply if a data use agreement will be used:</w:t>
      </w:r>
    </w:p>
    <w:p w14:paraId="5A1ED428"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Are there existing laws and regulations that establish baseline compliance requirements? What legal tools can be leveraged to protect PII?</w:t>
      </w:r>
    </w:p>
    <w:p w14:paraId="6BBDD8C5"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(If the agreement addresses more use cases than case reporting) Is there a specified or limited number of purposes for exchange?</w:t>
      </w:r>
    </w:p>
    <w:p w14:paraId="6D320064" w14:textId="0506A0DE" w:rsidR="00B66EA9" w:rsidRPr="00040F86" w:rsidRDefault="00B66EA9" w:rsidP="00B66EA9">
      <w:pPr>
        <w:pStyle w:val="ListParagraph"/>
        <w:numPr>
          <w:ilvl w:val="1"/>
          <w:numId w:val="27"/>
        </w:numPr>
        <w:rPr>
          <w:rFonts w:asciiTheme="majorHAnsi" w:hAnsiTheme="majorHAnsi"/>
          <w:b/>
        </w:rPr>
      </w:pPr>
      <w:r>
        <w:rPr>
          <w:rFonts w:asciiTheme="majorHAnsi" w:hAnsiTheme="majorHAnsi"/>
        </w:rPr>
        <w:t>Is there any anticipated reuse or re-exchange of data with participants in the network?</w:t>
      </w:r>
    </w:p>
    <w:p w14:paraId="3245DBB7"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Are all participants required to be in production?</w:t>
      </w:r>
    </w:p>
    <w:p w14:paraId="3D0AB7CC"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Are all participants required to respond to queries/data requests?</w:t>
      </w:r>
    </w:p>
    <w:p w14:paraId="5F39EF6A"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What is the process for reporting breaches or addressing issue resolution?</w:t>
      </w:r>
    </w:p>
    <w:p w14:paraId="4CA29B56"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Can participants establish their own policies around which users can access and exchange data using the participants’ system?</w:t>
      </w:r>
    </w:p>
    <w:p w14:paraId="152E0651" w14:textId="03C5D6DA" w:rsidR="00B66EA9" w:rsidRPr="00040F86" w:rsidRDefault="00B66EA9" w:rsidP="00B66EA9">
      <w:pPr>
        <w:pStyle w:val="ListParagraph"/>
        <w:numPr>
          <w:ilvl w:val="1"/>
          <w:numId w:val="27"/>
        </w:numPr>
        <w:rPr>
          <w:rFonts w:asciiTheme="majorHAnsi" w:hAnsiTheme="majorHAnsi"/>
          <w:b/>
        </w:rPr>
      </w:pPr>
      <w:r>
        <w:rPr>
          <w:rFonts w:asciiTheme="majorHAnsi" w:hAnsiTheme="majorHAnsi"/>
        </w:rPr>
        <w:t>Is there a need to guarantee clinical accuracy, content, or completeness of data exchanged?</w:t>
      </w:r>
    </w:p>
    <w:p w14:paraId="21B4FD43"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Is there a resolution process for disputes between participants?</w:t>
      </w:r>
    </w:p>
    <w:p w14:paraId="3764B0C8"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What party/ies bear the risk for harm caused by breaches of the data use agreement?</w:t>
      </w:r>
    </w:p>
    <w:p w14:paraId="2CDEC066" w14:textId="77777777" w:rsidR="00B66EA9" w:rsidRPr="00040F86" w:rsidRDefault="00B66EA9" w:rsidP="00B66EA9">
      <w:pPr>
        <w:pStyle w:val="ListParagraph"/>
        <w:numPr>
          <w:ilvl w:val="1"/>
          <w:numId w:val="27"/>
        </w:numPr>
        <w:rPr>
          <w:rFonts w:asciiTheme="majorHAnsi" w:hAnsiTheme="majorHAnsi"/>
          <w:b/>
        </w:rPr>
      </w:pPr>
      <w:r>
        <w:rPr>
          <w:rFonts w:asciiTheme="majorHAnsi" w:hAnsiTheme="majorHAnsi"/>
        </w:rPr>
        <w:t>Who bears the responsibility for auditing access to and use of systems related to the data use agreement?</w:t>
      </w:r>
    </w:p>
    <w:p w14:paraId="7887D76D" w14:textId="57D0274F" w:rsidR="00B66EA9" w:rsidRPr="00040F86" w:rsidRDefault="00B66EA9" w:rsidP="00B66EA9">
      <w:pPr>
        <w:pStyle w:val="ListParagraph"/>
        <w:numPr>
          <w:ilvl w:val="1"/>
          <w:numId w:val="27"/>
        </w:numPr>
        <w:rPr>
          <w:rFonts w:asciiTheme="majorHAnsi" w:hAnsiTheme="majorHAnsi"/>
          <w:b/>
        </w:rPr>
      </w:pPr>
      <w:r>
        <w:rPr>
          <w:rFonts w:asciiTheme="majorHAnsi" w:hAnsiTheme="majorHAnsi"/>
        </w:rPr>
        <w:t>Is there a need for identity proofing and authentication?</w:t>
      </w:r>
    </w:p>
    <w:p w14:paraId="0E6070A7" w14:textId="77777777" w:rsidR="00B66EA9" w:rsidRDefault="00B66EA9" w:rsidP="00B66EA9">
      <w:pPr>
        <w:rPr>
          <w:rFonts w:asciiTheme="majorHAnsi" w:hAnsiTheme="majorHAnsi"/>
          <w:b/>
        </w:rPr>
      </w:pPr>
    </w:p>
    <w:p w14:paraId="24CE7A7B" w14:textId="77777777" w:rsidR="00B66EA9" w:rsidRDefault="00B66EA9" w:rsidP="00B66EA9">
      <w:pPr>
        <w:rPr>
          <w:rFonts w:asciiTheme="majorHAnsi" w:hAnsiTheme="majorHAnsi"/>
          <w:b/>
        </w:rPr>
      </w:pPr>
      <w:r>
        <w:rPr>
          <w:rFonts w:asciiTheme="majorHAnsi" w:hAnsiTheme="majorHAnsi"/>
          <w:b/>
        </w:rPr>
        <w:t>HIE Implementation</w:t>
      </w:r>
    </w:p>
    <w:p w14:paraId="203D82EC" w14:textId="77777777" w:rsidR="00B66EA9" w:rsidRPr="00040F86" w:rsidRDefault="00B66EA9" w:rsidP="00B66EA9">
      <w:pPr>
        <w:pStyle w:val="ListParagraph"/>
        <w:numPr>
          <w:ilvl w:val="0"/>
          <w:numId w:val="28"/>
        </w:numPr>
        <w:rPr>
          <w:rFonts w:asciiTheme="majorHAnsi" w:hAnsiTheme="majorHAnsi"/>
          <w:b/>
        </w:rPr>
      </w:pPr>
      <w:r>
        <w:rPr>
          <w:rFonts w:asciiTheme="majorHAnsi" w:hAnsiTheme="majorHAnsi"/>
        </w:rPr>
        <w:t>How will system infrastructure be developed, sustained, financed, and expanded?</w:t>
      </w:r>
    </w:p>
    <w:p w14:paraId="72D46116" w14:textId="77777777" w:rsidR="00B66EA9" w:rsidRPr="00040F86" w:rsidRDefault="00B66EA9" w:rsidP="00B66EA9">
      <w:pPr>
        <w:pStyle w:val="ListParagraph"/>
        <w:numPr>
          <w:ilvl w:val="0"/>
          <w:numId w:val="28"/>
        </w:numPr>
        <w:rPr>
          <w:rFonts w:asciiTheme="majorHAnsi" w:hAnsiTheme="majorHAnsi"/>
          <w:b/>
        </w:rPr>
      </w:pPr>
      <w:r>
        <w:rPr>
          <w:rFonts w:asciiTheme="majorHAnsi" w:hAnsiTheme="majorHAnsi"/>
        </w:rPr>
        <w:t>How will users and participants at all levels of the system be trained?</w:t>
      </w:r>
    </w:p>
    <w:p w14:paraId="589D8286" w14:textId="77777777" w:rsidR="00B66EA9" w:rsidRPr="00040F86" w:rsidRDefault="00B66EA9" w:rsidP="00B66EA9">
      <w:pPr>
        <w:pStyle w:val="ListParagraph"/>
        <w:numPr>
          <w:ilvl w:val="0"/>
          <w:numId w:val="28"/>
        </w:numPr>
        <w:rPr>
          <w:rFonts w:asciiTheme="majorHAnsi" w:hAnsiTheme="majorHAnsi"/>
          <w:b/>
        </w:rPr>
      </w:pPr>
      <w:r>
        <w:rPr>
          <w:rFonts w:asciiTheme="majorHAnsi" w:hAnsiTheme="majorHAnsi"/>
        </w:rPr>
        <w:t>How will consistent processes be established and implemented (e.g., patient registration, patient match)?</w:t>
      </w:r>
    </w:p>
    <w:p w14:paraId="37A25EDD" w14:textId="6780F1CA" w:rsidR="00B66EA9" w:rsidRPr="00040F86" w:rsidRDefault="00B66EA9" w:rsidP="00B66EA9">
      <w:pPr>
        <w:pStyle w:val="ListParagraph"/>
        <w:numPr>
          <w:ilvl w:val="0"/>
          <w:numId w:val="28"/>
        </w:numPr>
        <w:rPr>
          <w:rFonts w:asciiTheme="majorHAnsi" w:hAnsiTheme="majorHAnsi"/>
          <w:b/>
        </w:rPr>
      </w:pPr>
      <w:r>
        <w:rPr>
          <w:rFonts w:asciiTheme="majorHAnsi" w:hAnsiTheme="majorHAnsi"/>
        </w:rPr>
        <w:t>How will performance and success be measured? Will data be collected from use of the network to inform performance measures?</w:t>
      </w:r>
    </w:p>
    <w:p w14:paraId="6089F055" w14:textId="6B1E1787" w:rsidR="00DF3F9A" w:rsidRPr="00040F86" w:rsidRDefault="00B66EA9" w:rsidP="00B66EA9">
      <w:pPr>
        <w:pStyle w:val="ListParagraph"/>
        <w:numPr>
          <w:ilvl w:val="0"/>
          <w:numId w:val="28"/>
        </w:numPr>
        <w:rPr>
          <w:rFonts w:asciiTheme="majorHAnsi" w:hAnsiTheme="majorHAnsi"/>
          <w:b/>
        </w:rPr>
      </w:pPr>
      <w:r w:rsidRPr="006A3840">
        <w:rPr>
          <w:rFonts w:asciiTheme="majorHAnsi" w:hAnsiTheme="majorHAnsi"/>
        </w:rPr>
        <w:t>Will support services like record locators and provider directories be implemented?</w:t>
      </w:r>
    </w:p>
    <w:p w14:paraId="62E13CFD" w14:textId="77777777" w:rsidR="00E975E6" w:rsidRPr="00C41D32" w:rsidRDefault="00E975E6" w:rsidP="00864EA2">
      <w:pPr>
        <w:rPr>
          <w:rFonts w:asciiTheme="majorHAnsi" w:hAnsiTheme="majorHAnsi"/>
        </w:rPr>
      </w:pPr>
    </w:p>
    <w:p w14:paraId="3E2DE324" w14:textId="77777777" w:rsidR="00C41D32" w:rsidRDefault="00C41D32" w:rsidP="00864EA2">
      <w:pPr>
        <w:rPr>
          <w:rFonts w:asciiTheme="majorHAnsi" w:hAnsiTheme="majorHAnsi"/>
          <w:u w:val="single"/>
        </w:rPr>
      </w:pPr>
    </w:p>
    <w:p w14:paraId="016FA836" w14:textId="77777777" w:rsidR="00C41D32" w:rsidRPr="00495E01" w:rsidRDefault="00C41D32" w:rsidP="00864EA2">
      <w:pPr>
        <w:rPr>
          <w:rFonts w:asciiTheme="majorHAnsi" w:hAnsiTheme="majorHAnsi"/>
          <w:u w:val="single"/>
        </w:rPr>
        <w:sectPr w:rsidR="00C41D32" w:rsidRPr="00495E01">
          <w:footnotePr>
            <w:numFmt w:val="lowerLetter"/>
          </w:footnotePr>
          <w:pgSz w:w="12240" w:h="15840"/>
          <w:pgMar w:top="1440" w:right="1440" w:bottom="1440" w:left="1440" w:header="720" w:footer="720" w:gutter="0"/>
          <w:cols w:space="720"/>
          <w:docGrid w:linePitch="360"/>
        </w:sectPr>
      </w:pPr>
    </w:p>
    <w:p w14:paraId="2D9E7686" w14:textId="77777777" w:rsidR="003E688F" w:rsidRPr="00C624DD" w:rsidRDefault="003E688F" w:rsidP="00B1394A">
      <w:pPr>
        <w:pStyle w:val="ListParagraph"/>
        <w:numPr>
          <w:ilvl w:val="0"/>
          <w:numId w:val="30"/>
        </w:numPr>
        <w:jc w:val="center"/>
        <w:rPr>
          <w:rFonts w:asciiTheme="majorHAnsi" w:hAnsiTheme="majorHAnsi"/>
          <w:b/>
          <w:sz w:val="28"/>
          <w:szCs w:val="28"/>
        </w:rPr>
      </w:pPr>
      <w:bookmarkStart w:id="23" w:name="_Ref445202033"/>
      <w:r w:rsidRPr="00C624DD">
        <w:rPr>
          <w:rFonts w:asciiTheme="majorHAnsi" w:hAnsiTheme="majorHAnsi"/>
          <w:b/>
          <w:sz w:val="28"/>
          <w:szCs w:val="28"/>
        </w:rPr>
        <w:t>References</w:t>
      </w:r>
      <w:bookmarkEnd w:id="23"/>
    </w:p>
    <w:p w14:paraId="2EC0A0D9" w14:textId="77777777" w:rsidR="003E688F" w:rsidRDefault="003E688F" w:rsidP="000E666B">
      <w:pPr>
        <w:rPr>
          <w:rFonts w:asciiTheme="majorHAnsi" w:hAnsiTheme="majorHAnsi"/>
          <w:b/>
          <w:sz w:val="28"/>
          <w:szCs w:val="28"/>
        </w:rPr>
      </w:pPr>
    </w:p>
    <w:p w14:paraId="26A1B4DD" w14:textId="28425812" w:rsidR="0061796D" w:rsidRPr="004E0FDD" w:rsidRDefault="0061796D" w:rsidP="0061796D">
      <w:pPr>
        <w:rPr>
          <w:rFonts w:asciiTheme="majorHAnsi" w:hAnsiTheme="majorHAnsi"/>
        </w:rPr>
      </w:pPr>
      <w:r w:rsidRPr="004E0FDD">
        <w:rPr>
          <w:rFonts w:asciiTheme="majorHAnsi" w:hAnsiTheme="majorHAnsi"/>
        </w:rPr>
        <w:t xml:space="preserve">[1] </w:t>
      </w:r>
      <w:r w:rsidR="00391E17" w:rsidRPr="004E0FDD">
        <w:rPr>
          <w:rFonts w:asciiTheme="majorHAnsi" w:hAnsiTheme="majorHAnsi"/>
        </w:rPr>
        <w:t xml:space="preserve">World Health Organization and International Telecommunication Union. National eHealth strategy toolkit. 2012. </w:t>
      </w:r>
    </w:p>
    <w:p w14:paraId="5B04FF44" w14:textId="77777777" w:rsidR="00391E17" w:rsidRPr="004E0FDD" w:rsidRDefault="00391E17" w:rsidP="0061796D">
      <w:pPr>
        <w:rPr>
          <w:rFonts w:asciiTheme="majorHAnsi" w:hAnsiTheme="majorHAnsi"/>
        </w:rPr>
      </w:pPr>
    </w:p>
    <w:p w14:paraId="69C1CAE9" w14:textId="50F606CC" w:rsidR="00391E17" w:rsidRPr="004E0FDD" w:rsidRDefault="00391E17" w:rsidP="0061796D">
      <w:pPr>
        <w:rPr>
          <w:rFonts w:asciiTheme="majorHAnsi" w:hAnsiTheme="majorHAnsi"/>
        </w:rPr>
      </w:pPr>
      <w:r w:rsidRPr="004E0FDD">
        <w:rPr>
          <w:rFonts w:asciiTheme="majorHAnsi" w:hAnsiTheme="majorHAnsi"/>
        </w:rPr>
        <w:t>[2] Wyber R, Vaillancourt S, Perry W, Mannava P, Folaranmi T, Celi LA. Big data in global health: improving health in low- and middle-income countries. Bull World Health Organ 2015;93(3):203-8.</w:t>
      </w:r>
    </w:p>
    <w:p w14:paraId="096FB2D4" w14:textId="77777777" w:rsidR="00391E17" w:rsidRPr="004E0FDD" w:rsidRDefault="00391E17" w:rsidP="0061796D">
      <w:pPr>
        <w:rPr>
          <w:rFonts w:asciiTheme="majorHAnsi" w:hAnsiTheme="majorHAnsi"/>
        </w:rPr>
      </w:pPr>
    </w:p>
    <w:p w14:paraId="7DAC6E00" w14:textId="030A614D" w:rsidR="00391E17" w:rsidRPr="004E0FDD" w:rsidRDefault="00391E17" w:rsidP="0061796D">
      <w:pPr>
        <w:rPr>
          <w:rFonts w:asciiTheme="majorHAnsi" w:hAnsiTheme="majorHAnsi"/>
        </w:rPr>
      </w:pPr>
      <w:r w:rsidRPr="004E0FDD">
        <w:rPr>
          <w:rFonts w:asciiTheme="majorHAnsi" w:hAnsiTheme="majorHAnsi"/>
        </w:rPr>
        <w:t xml:space="preserve">[3] </w:t>
      </w:r>
      <w:r w:rsidR="00E153D8" w:rsidRPr="004E0FDD">
        <w:rPr>
          <w:rFonts w:asciiTheme="majorHAnsi" w:hAnsiTheme="majorHAnsi"/>
        </w:rPr>
        <w:t xml:space="preserve">Healthcare Information and Management Systems Society. Health </w:t>
      </w:r>
      <w:r w:rsidR="00C2410C" w:rsidRPr="004E0FDD">
        <w:rPr>
          <w:rFonts w:asciiTheme="majorHAnsi" w:hAnsiTheme="majorHAnsi"/>
        </w:rPr>
        <w:t>i</w:t>
      </w:r>
      <w:r w:rsidR="00E153D8" w:rsidRPr="004E0FDD">
        <w:rPr>
          <w:rFonts w:asciiTheme="majorHAnsi" w:hAnsiTheme="majorHAnsi"/>
        </w:rPr>
        <w:t xml:space="preserve">nformation </w:t>
      </w:r>
      <w:r w:rsidR="00C2410C" w:rsidRPr="004E0FDD">
        <w:rPr>
          <w:rFonts w:asciiTheme="majorHAnsi" w:hAnsiTheme="majorHAnsi"/>
        </w:rPr>
        <w:t>e</w:t>
      </w:r>
      <w:r w:rsidR="00E153D8" w:rsidRPr="004E0FDD">
        <w:rPr>
          <w:rFonts w:asciiTheme="majorHAnsi" w:hAnsiTheme="majorHAnsi"/>
        </w:rPr>
        <w:t xml:space="preserve">xchange. </w:t>
      </w:r>
      <w:hyperlink r:id="rId48" w:history="1">
        <w:r w:rsidR="00E153D8" w:rsidRPr="004E0FDD">
          <w:rPr>
            <w:rStyle w:val="Hyperlink"/>
            <w:rFonts w:asciiTheme="majorHAnsi" w:hAnsiTheme="majorHAnsi"/>
          </w:rPr>
          <w:t>http://www.himss.org/resourcelibrary/TopicList.aspx?MetaDataID=1246</w:t>
        </w:r>
      </w:hyperlink>
      <w:r w:rsidR="00E153D8" w:rsidRPr="004E0FDD">
        <w:rPr>
          <w:rFonts w:asciiTheme="majorHAnsi" w:hAnsiTheme="majorHAnsi"/>
        </w:rPr>
        <w:t>. Accessed 21 March 2016.</w:t>
      </w:r>
    </w:p>
    <w:p w14:paraId="00E3FBCD" w14:textId="77777777" w:rsidR="00E153D8" w:rsidRPr="004E0FDD" w:rsidRDefault="00E153D8" w:rsidP="0061796D">
      <w:pPr>
        <w:rPr>
          <w:rFonts w:asciiTheme="majorHAnsi" w:hAnsiTheme="majorHAnsi"/>
        </w:rPr>
      </w:pPr>
    </w:p>
    <w:p w14:paraId="3583FE4E" w14:textId="2042F3B8" w:rsidR="00E153D8" w:rsidRDefault="00E153D8" w:rsidP="0061796D">
      <w:pPr>
        <w:rPr>
          <w:rFonts w:asciiTheme="majorHAnsi" w:hAnsiTheme="majorHAnsi"/>
        </w:rPr>
      </w:pPr>
      <w:r w:rsidRPr="004E0FDD">
        <w:rPr>
          <w:rFonts w:asciiTheme="majorHAnsi" w:hAnsiTheme="majorHAnsi"/>
        </w:rPr>
        <w:t xml:space="preserve">[4] </w:t>
      </w:r>
      <w:r w:rsidR="00C2410C" w:rsidRPr="004E0FDD">
        <w:rPr>
          <w:rFonts w:asciiTheme="majorHAnsi" w:hAnsiTheme="majorHAnsi"/>
        </w:rPr>
        <w:t>Lang A. Government capacities and stakeholders: what facilitates eHealth legislation? Global Health 2014 Jan 13.</w:t>
      </w:r>
    </w:p>
    <w:p w14:paraId="6C6A2C65" w14:textId="77777777" w:rsidR="008677CF" w:rsidRDefault="008677CF" w:rsidP="0061796D">
      <w:pPr>
        <w:rPr>
          <w:rFonts w:asciiTheme="majorHAnsi" w:hAnsiTheme="majorHAnsi"/>
        </w:rPr>
      </w:pPr>
    </w:p>
    <w:p w14:paraId="40362245" w14:textId="2F5062B8" w:rsidR="008677CF" w:rsidRPr="004E0FDD" w:rsidRDefault="008677CF" w:rsidP="0061796D">
      <w:pPr>
        <w:rPr>
          <w:rFonts w:asciiTheme="majorHAnsi" w:hAnsiTheme="majorHAnsi"/>
        </w:rPr>
      </w:pPr>
      <w:r>
        <w:rPr>
          <w:rFonts w:asciiTheme="majorHAnsi" w:hAnsiTheme="majorHAnsi"/>
        </w:rPr>
        <w:t xml:space="preserve">[5] </w:t>
      </w:r>
      <w:r w:rsidRPr="008677CF">
        <w:rPr>
          <w:rFonts w:asciiTheme="majorHAnsi" w:hAnsiTheme="majorHAnsi"/>
        </w:rPr>
        <w:t>World Health Organization. Global Observatory for eHealth Publications. http://www.who.int/goe/publications/en/. Accessed 28 Feb 2016.</w:t>
      </w:r>
    </w:p>
    <w:p w14:paraId="438CA96B" w14:textId="77777777" w:rsidR="00C2410C" w:rsidRPr="004E0FDD" w:rsidRDefault="00C2410C" w:rsidP="0061796D">
      <w:pPr>
        <w:rPr>
          <w:rFonts w:asciiTheme="majorHAnsi" w:hAnsiTheme="majorHAnsi"/>
        </w:rPr>
      </w:pPr>
    </w:p>
    <w:p w14:paraId="064C43F8" w14:textId="58C8C865" w:rsidR="00C2410C" w:rsidRDefault="00C2410C" w:rsidP="0061796D">
      <w:pPr>
        <w:rPr>
          <w:rFonts w:asciiTheme="majorHAnsi" w:hAnsiTheme="majorHAnsi"/>
        </w:rPr>
      </w:pPr>
      <w:r w:rsidRPr="004E0FDD">
        <w:rPr>
          <w:rFonts w:asciiTheme="majorHAnsi" w:hAnsiTheme="majorHAnsi"/>
        </w:rPr>
        <w:t>[</w:t>
      </w:r>
      <w:r w:rsidR="008677CF">
        <w:rPr>
          <w:rFonts w:asciiTheme="majorHAnsi" w:hAnsiTheme="majorHAnsi"/>
        </w:rPr>
        <w:t>6</w:t>
      </w:r>
      <w:r w:rsidRPr="004E0FDD">
        <w:rPr>
          <w:rFonts w:asciiTheme="majorHAnsi" w:hAnsiTheme="majorHAnsi"/>
        </w:rPr>
        <w:t xml:space="preserve">] The World Bank. Low &amp; middle income data. </w:t>
      </w:r>
      <w:hyperlink r:id="rId49" w:history="1">
        <w:r w:rsidR="00387B89">
          <w:rPr>
            <w:rStyle w:val="Hyperlink"/>
            <w:rFonts w:asciiTheme="majorHAnsi" w:hAnsiTheme="majorHAnsi"/>
          </w:rPr>
          <w:t>http://data.worldbank.org/income-level/LMY</w:t>
        </w:r>
      </w:hyperlink>
      <w:r w:rsidRPr="004E0FDD">
        <w:rPr>
          <w:rFonts w:asciiTheme="majorHAnsi" w:hAnsiTheme="majorHAnsi"/>
        </w:rPr>
        <w:t>.</w:t>
      </w:r>
      <w:r w:rsidR="00387B89">
        <w:rPr>
          <w:rFonts w:asciiTheme="majorHAnsi" w:hAnsiTheme="majorHAnsi"/>
        </w:rPr>
        <w:t xml:space="preserve"> Accessed 16 Mar 2016.</w:t>
      </w:r>
    </w:p>
    <w:p w14:paraId="4270CF86" w14:textId="77777777" w:rsidR="008677CF" w:rsidRDefault="008677CF" w:rsidP="0061796D">
      <w:pPr>
        <w:rPr>
          <w:rFonts w:asciiTheme="majorHAnsi" w:hAnsiTheme="majorHAnsi"/>
        </w:rPr>
      </w:pPr>
    </w:p>
    <w:p w14:paraId="187F801A" w14:textId="62E0BE73" w:rsidR="008677CF" w:rsidRPr="004E0FDD" w:rsidRDefault="008677CF" w:rsidP="0061796D">
      <w:pPr>
        <w:rPr>
          <w:rFonts w:asciiTheme="majorHAnsi" w:hAnsiTheme="majorHAnsi"/>
        </w:rPr>
      </w:pPr>
      <w:r>
        <w:rPr>
          <w:rFonts w:asciiTheme="majorHAnsi" w:hAnsiTheme="majorHAnsi"/>
        </w:rPr>
        <w:t xml:space="preserve">[7] Principles for Digital Development. </w:t>
      </w:r>
      <w:hyperlink r:id="rId50" w:history="1">
        <w:r w:rsidRPr="00C66E9D">
          <w:rPr>
            <w:rStyle w:val="Hyperlink"/>
            <w:rFonts w:asciiTheme="majorHAnsi" w:hAnsiTheme="majorHAnsi"/>
          </w:rPr>
          <w:t>http://digitalprinciples.org/</w:t>
        </w:r>
      </w:hyperlink>
      <w:r>
        <w:rPr>
          <w:rFonts w:asciiTheme="majorHAnsi" w:hAnsiTheme="majorHAnsi"/>
        </w:rPr>
        <w:t>. Accessed 9 Feb 2016.</w:t>
      </w:r>
    </w:p>
    <w:p w14:paraId="4879C82B" w14:textId="77777777" w:rsidR="00C2410C" w:rsidRPr="004E0FDD" w:rsidRDefault="00C2410C" w:rsidP="0061796D">
      <w:pPr>
        <w:rPr>
          <w:rFonts w:asciiTheme="majorHAnsi" w:hAnsiTheme="majorHAnsi"/>
        </w:rPr>
      </w:pPr>
    </w:p>
    <w:p w14:paraId="55D96F6D" w14:textId="29BCA7C1" w:rsidR="00C2410C" w:rsidRPr="004E0FDD" w:rsidRDefault="00C2410C" w:rsidP="0061796D">
      <w:pPr>
        <w:rPr>
          <w:rFonts w:asciiTheme="majorHAnsi" w:hAnsiTheme="majorHAnsi"/>
        </w:rPr>
      </w:pPr>
      <w:r w:rsidRPr="004E0FDD">
        <w:rPr>
          <w:rFonts w:asciiTheme="majorHAnsi" w:hAnsiTheme="majorHAnsi"/>
        </w:rPr>
        <w:t>[</w:t>
      </w:r>
      <w:r w:rsidR="008677CF">
        <w:rPr>
          <w:rFonts w:asciiTheme="majorHAnsi" w:hAnsiTheme="majorHAnsi"/>
        </w:rPr>
        <w:t>8</w:t>
      </w:r>
      <w:r w:rsidRPr="004E0FDD">
        <w:rPr>
          <w:rFonts w:asciiTheme="majorHAnsi" w:hAnsiTheme="majorHAnsi"/>
        </w:rPr>
        <w:t>] Crowe S, Hertz D, Maenner M, et</w:t>
      </w:r>
      <w:r w:rsidRPr="004E0FDD">
        <w:rPr>
          <w:rFonts w:asciiTheme="majorHAnsi" w:hAnsiTheme="majorHAnsi"/>
          <w:i/>
        </w:rPr>
        <w:t xml:space="preserve"> </w:t>
      </w:r>
      <w:r w:rsidRPr="004E0FDD">
        <w:rPr>
          <w:rFonts w:asciiTheme="majorHAnsi" w:hAnsiTheme="majorHAnsi"/>
        </w:rPr>
        <w:t>al. A plan for community even-based surveillance to reduce Ebola transmission – Sierra Leone, 2014-2015. Centers for Disease Control and Prevention Morbidity and Mortality Weekly Report 2015;64(3):70-73.</w:t>
      </w:r>
    </w:p>
    <w:p w14:paraId="0A2401D9" w14:textId="77777777" w:rsidR="00C2410C" w:rsidRPr="004E0FDD" w:rsidRDefault="00C2410C" w:rsidP="0061796D">
      <w:pPr>
        <w:rPr>
          <w:rFonts w:asciiTheme="majorHAnsi" w:hAnsiTheme="majorHAnsi"/>
        </w:rPr>
      </w:pPr>
    </w:p>
    <w:p w14:paraId="7D13CFA2" w14:textId="457C6184" w:rsidR="00C2410C" w:rsidRPr="004E0FDD" w:rsidRDefault="00C2410C" w:rsidP="0061796D">
      <w:pPr>
        <w:rPr>
          <w:rFonts w:asciiTheme="majorHAnsi" w:hAnsiTheme="majorHAnsi"/>
        </w:rPr>
      </w:pPr>
      <w:r w:rsidRPr="004E0FDD">
        <w:rPr>
          <w:rFonts w:asciiTheme="majorHAnsi" w:hAnsiTheme="majorHAnsi"/>
        </w:rPr>
        <w:t>[</w:t>
      </w:r>
      <w:r w:rsidR="008677CF">
        <w:rPr>
          <w:rFonts w:asciiTheme="majorHAnsi" w:hAnsiTheme="majorHAnsi"/>
        </w:rPr>
        <w:t>9</w:t>
      </w:r>
      <w:r w:rsidRPr="004E0FDD">
        <w:rPr>
          <w:rFonts w:asciiTheme="majorHAnsi" w:hAnsiTheme="majorHAnsi"/>
        </w:rPr>
        <w:t>] Curioso W</w:t>
      </w:r>
      <w:r w:rsidR="00CC0DE6" w:rsidRPr="004E0FDD">
        <w:rPr>
          <w:rFonts w:asciiTheme="majorHAnsi" w:hAnsiTheme="majorHAnsi"/>
        </w:rPr>
        <w:t>H</w:t>
      </w:r>
      <w:r w:rsidRPr="004E0FDD">
        <w:rPr>
          <w:rFonts w:asciiTheme="majorHAnsi" w:hAnsiTheme="majorHAnsi"/>
        </w:rPr>
        <w:t xml:space="preserve">. eSalud en </w:t>
      </w:r>
      <w:r w:rsidR="009F7CCD">
        <w:rPr>
          <w:rFonts w:asciiTheme="majorHAnsi" w:hAnsiTheme="majorHAnsi"/>
        </w:rPr>
        <w:t>Peru</w:t>
      </w:r>
      <w:r w:rsidRPr="004E0FDD">
        <w:rPr>
          <w:rFonts w:asciiTheme="majorHAnsi" w:hAnsiTheme="majorHAnsi"/>
        </w:rPr>
        <w:t>: implementación de políticas para el fortalecimiento de sistemas de información en salud. Rev Panam Salud Publica 204</w:t>
      </w:r>
      <w:r w:rsidR="00CC0DE6" w:rsidRPr="004E0FDD">
        <w:rPr>
          <w:rFonts w:asciiTheme="majorHAnsi" w:hAnsiTheme="majorHAnsi"/>
        </w:rPr>
        <w:t>;35(5/6):437-41.</w:t>
      </w:r>
    </w:p>
    <w:p w14:paraId="686B6B3D" w14:textId="77777777" w:rsidR="00CC0DE6" w:rsidRPr="004E0FDD" w:rsidRDefault="00CC0DE6" w:rsidP="0061796D">
      <w:pPr>
        <w:rPr>
          <w:rFonts w:asciiTheme="majorHAnsi" w:hAnsiTheme="majorHAnsi"/>
        </w:rPr>
      </w:pPr>
    </w:p>
    <w:p w14:paraId="4297D85A" w14:textId="4FB5ECF4" w:rsidR="00FF6505" w:rsidRPr="004E0FDD" w:rsidRDefault="00CC0DE6" w:rsidP="0061796D">
      <w:pPr>
        <w:rPr>
          <w:rFonts w:asciiTheme="majorHAnsi" w:hAnsiTheme="majorHAnsi"/>
        </w:rPr>
      </w:pPr>
      <w:r w:rsidRPr="004E0FDD">
        <w:rPr>
          <w:rFonts w:asciiTheme="majorHAnsi" w:hAnsiTheme="majorHAnsi"/>
        </w:rPr>
        <w:t>[</w:t>
      </w:r>
      <w:r w:rsidR="008677CF">
        <w:rPr>
          <w:rFonts w:asciiTheme="majorHAnsi" w:hAnsiTheme="majorHAnsi"/>
        </w:rPr>
        <w:t>10</w:t>
      </w:r>
      <w:r w:rsidRPr="004E0FDD">
        <w:rPr>
          <w:rFonts w:asciiTheme="majorHAnsi" w:hAnsiTheme="majorHAnsi"/>
        </w:rPr>
        <w:t xml:space="preserve">] Curioso WH, Espinoza-Portilla E. Marco conceptual para el fortalecimiento de los sistemas de información en salud en </w:t>
      </w:r>
      <w:r w:rsidR="009F7CCD">
        <w:rPr>
          <w:rFonts w:asciiTheme="majorHAnsi" w:hAnsiTheme="majorHAnsi"/>
        </w:rPr>
        <w:t>Peru</w:t>
      </w:r>
      <w:r w:rsidRPr="004E0FDD">
        <w:rPr>
          <w:rFonts w:asciiTheme="majorHAnsi" w:hAnsiTheme="majorHAnsi"/>
        </w:rPr>
        <w:t>. Rev Peru Med Exp Salud Publica 2015;32(2):335-42.</w:t>
      </w:r>
    </w:p>
    <w:p w14:paraId="684F6DA1" w14:textId="77777777" w:rsidR="00FF6505" w:rsidRPr="004E0FDD" w:rsidRDefault="00FF6505" w:rsidP="0061796D">
      <w:pPr>
        <w:rPr>
          <w:rFonts w:asciiTheme="majorHAnsi" w:hAnsiTheme="majorHAnsi"/>
        </w:rPr>
      </w:pPr>
    </w:p>
    <w:p w14:paraId="7BFDECCF" w14:textId="11502AFB" w:rsidR="00CC0DE6" w:rsidRPr="004E0FDD" w:rsidRDefault="00FF6505" w:rsidP="0061796D">
      <w:pPr>
        <w:rPr>
          <w:rFonts w:asciiTheme="majorHAnsi" w:hAnsiTheme="majorHAnsi"/>
        </w:rPr>
      </w:pPr>
      <w:r w:rsidRPr="004E0FDD">
        <w:rPr>
          <w:rFonts w:asciiTheme="majorHAnsi" w:hAnsiTheme="majorHAnsi"/>
        </w:rPr>
        <w:t>[</w:t>
      </w:r>
      <w:r w:rsidR="008677CF">
        <w:rPr>
          <w:rFonts w:asciiTheme="majorHAnsi" w:hAnsiTheme="majorHAnsi"/>
        </w:rPr>
        <w:t>11</w:t>
      </w:r>
      <w:r w:rsidRPr="004E0FDD">
        <w:rPr>
          <w:rFonts w:asciiTheme="majorHAnsi" w:hAnsiTheme="majorHAnsi"/>
        </w:rPr>
        <w:t xml:space="preserve">] Curioso WH, Pardo K, Loayza M. Transformado el Sistema de información de nacimientos en el </w:t>
      </w:r>
      <w:r w:rsidR="009F7CCD">
        <w:rPr>
          <w:rFonts w:asciiTheme="majorHAnsi" w:hAnsiTheme="majorHAnsi"/>
        </w:rPr>
        <w:t>Peru</w:t>
      </w:r>
      <w:r w:rsidRPr="004E0FDD">
        <w:rPr>
          <w:rFonts w:asciiTheme="majorHAnsi" w:hAnsiTheme="majorHAnsi"/>
        </w:rPr>
        <w:t>. Rev Peru Med Exp Salud Publica 2013;30(2):303-7.</w:t>
      </w:r>
      <w:r w:rsidR="00CC0DE6" w:rsidRPr="004E0FDD">
        <w:rPr>
          <w:rFonts w:asciiTheme="majorHAnsi" w:hAnsiTheme="majorHAnsi"/>
        </w:rPr>
        <w:t xml:space="preserve"> </w:t>
      </w:r>
    </w:p>
    <w:p w14:paraId="2ACD3265" w14:textId="77777777" w:rsidR="00CC0DE6" w:rsidRDefault="00CC0DE6" w:rsidP="0061796D"/>
    <w:p w14:paraId="00195F58" w14:textId="77777777" w:rsidR="00CC0DE6" w:rsidRPr="00C2410C" w:rsidRDefault="00CC0DE6" w:rsidP="0061796D">
      <w:pPr>
        <w:rPr>
          <w:rFonts w:asciiTheme="majorHAnsi" w:hAnsiTheme="majorHAnsi"/>
        </w:rPr>
        <w:sectPr w:rsidR="00CC0DE6" w:rsidRPr="00C2410C">
          <w:footnotePr>
            <w:numFmt w:val="lowerLetter"/>
          </w:footnotePr>
          <w:pgSz w:w="12240" w:h="15840"/>
          <w:pgMar w:top="1440" w:right="1440" w:bottom="1440" w:left="1440" w:header="720" w:footer="720" w:gutter="0"/>
          <w:cols w:space="720"/>
          <w:docGrid w:linePitch="360"/>
        </w:sectPr>
      </w:pPr>
    </w:p>
    <w:p w14:paraId="2EE76F76" w14:textId="77777777" w:rsidR="003E688F" w:rsidRPr="00C624DD" w:rsidRDefault="003E688F" w:rsidP="00B1394A">
      <w:pPr>
        <w:pStyle w:val="ListParagraph"/>
        <w:numPr>
          <w:ilvl w:val="0"/>
          <w:numId w:val="30"/>
        </w:numPr>
        <w:jc w:val="center"/>
        <w:rPr>
          <w:rFonts w:asciiTheme="majorHAnsi" w:hAnsiTheme="majorHAnsi"/>
          <w:b/>
          <w:sz w:val="28"/>
          <w:szCs w:val="28"/>
        </w:rPr>
      </w:pPr>
      <w:bookmarkStart w:id="24" w:name="_Ref445202038"/>
      <w:r w:rsidRPr="00C624DD">
        <w:rPr>
          <w:rFonts w:asciiTheme="majorHAnsi" w:hAnsiTheme="majorHAnsi"/>
          <w:b/>
          <w:sz w:val="28"/>
          <w:szCs w:val="28"/>
        </w:rPr>
        <w:t>Appendix A – Contributors</w:t>
      </w:r>
      <w:bookmarkEnd w:id="24"/>
    </w:p>
    <w:p w14:paraId="7FABD868" w14:textId="77777777" w:rsidR="003E688F" w:rsidRDefault="003E688F" w:rsidP="003E688F">
      <w:pPr>
        <w:jc w:val="center"/>
        <w:rPr>
          <w:rFonts w:asciiTheme="majorHAnsi" w:hAnsiTheme="majorHAnsi"/>
          <w:b/>
          <w:sz w:val="28"/>
          <w:szCs w:val="28"/>
        </w:rPr>
      </w:pPr>
    </w:p>
    <w:p w14:paraId="7E9A061D" w14:textId="2DEFFB7E" w:rsidR="003E688F" w:rsidRDefault="002F0B4E" w:rsidP="00EE3801">
      <w:pPr>
        <w:rPr>
          <w:rFonts w:asciiTheme="majorHAnsi" w:hAnsiTheme="majorHAnsi"/>
        </w:rPr>
      </w:pPr>
      <w:r w:rsidRPr="002F0B4E">
        <w:rPr>
          <w:rFonts w:asciiTheme="majorHAnsi" w:hAnsiTheme="majorHAnsi"/>
        </w:rPr>
        <w:t xml:space="preserve">This </w:t>
      </w:r>
      <w:r>
        <w:rPr>
          <w:rFonts w:asciiTheme="majorHAnsi" w:hAnsiTheme="majorHAnsi"/>
        </w:rPr>
        <w:t>Appendix provides the contact information for contr</w:t>
      </w:r>
      <w:r w:rsidR="00EE3801">
        <w:rPr>
          <w:rFonts w:asciiTheme="majorHAnsi" w:hAnsiTheme="majorHAnsi"/>
        </w:rPr>
        <w:t>ibutors</w:t>
      </w:r>
      <w:r w:rsidR="001E2F43">
        <w:rPr>
          <w:rFonts w:asciiTheme="majorHAnsi" w:hAnsiTheme="majorHAnsi"/>
        </w:rPr>
        <w:t xml:space="preserve"> and information sources</w:t>
      </w:r>
      <w:r w:rsidR="00EE3801">
        <w:rPr>
          <w:rFonts w:asciiTheme="majorHAnsi" w:hAnsiTheme="majorHAnsi"/>
        </w:rPr>
        <w:t xml:space="preserve"> based on those who</w:t>
      </w:r>
      <w:r w:rsidR="001E2F43">
        <w:rPr>
          <w:rFonts w:asciiTheme="majorHAnsi" w:hAnsiTheme="majorHAnsi"/>
        </w:rPr>
        <w:t>m</w:t>
      </w:r>
      <w:r w:rsidR="00EE3801">
        <w:rPr>
          <w:rFonts w:asciiTheme="majorHAnsi" w:hAnsiTheme="majorHAnsi"/>
        </w:rPr>
        <w:t xml:space="preserve"> have </w:t>
      </w:r>
      <w:r>
        <w:rPr>
          <w:rFonts w:asciiTheme="majorHAnsi" w:hAnsiTheme="majorHAnsi"/>
        </w:rPr>
        <w:t>consent</w:t>
      </w:r>
      <w:r w:rsidR="00EE3801">
        <w:rPr>
          <w:rFonts w:asciiTheme="majorHAnsi" w:hAnsiTheme="majorHAnsi"/>
        </w:rPr>
        <w:t>ed</w:t>
      </w:r>
      <w:r>
        <w:rPr>
          <w:rFonts w:asciiTheme="majorHAnsi" w:hAnsiTheme="majorHAnsi"/>
        </w:rPr>
        <w:t xml:space="preserve"> to include their information as of April 1, 2016.</w:t>
      </w:r>
    </w:p>
    <w:p w14:paraId="2893CC3C" w14:textId="77777777" w:rsidR="00EE3801" w:rsidRDefault="00EE3801" w:rsidP="00EE3801">
      <w:pPr>
        <w:rPr>
          <w:rFonts w:asciiTheme="majorHAnsi" w:hAnsiTheme="majorHAnsi"/>
        </w:rPr>
      </w:pPr>
    </w:p>
    <w:p w14:paraId="490EEC4B" w14:textId="5BB12309" w:rsidR="00EE3801" w:rsidRDefault="00424867" w:rsidP="00424867">
      <w:pPr>
        <w:spacing w:after="120"/>
        <w:rPr>
          <w:rFonts w:asciiTheme="majorHAnsi" w:hAnsiTheme="majorHAnsi"/>
          <w:b/>
        </w:rPr>
      </w:pPr>
      <w:r>
        <w:rPr>
          <w:rFonts w:asciiTheme="majorHAnsi" w:hAnsiTheme="majorHAnsi"/>
          <w:b/>
        </w:rPr>
        <w:t>Africa</w:t>
      </w:r>
    </w:p>
    <w:tbl>
      <w:tblPr>
        <w:tblStyle w:val="TableGrid"/>
        <w:tblW w:w="0" w:type="auto"/>
        <w:tblLayout w:type="fixed"/>
        <w:tblLook w:val="04A0" w:firstRow="1" w:lastRow="0" w:firstColumn="1" w:lastColumn="0" w:noHBand="0" w:noVBand="1"/>
      </w:tblPr>
      <w:tblGrid>
        <w:gridCol w:w="1327"/>
        <w:gridCol w:w="1336"/>
        <w:gridCol w:w="1855"/>
        <w:gridCol w:w="2957"/>
        <w:gridCol w:w="2101"/>
      </w:tblGrid>
      <w:tr w:rsidR="00AB21EF" w:rsidRPr="00AB21EF" w14:paraId="039C1A1E" w14:textId="77777777" w:rsidTr="008B55C1">
        <w:trPr>
          <w:tblHeader/>
        </w:trPr>
        <w:tc>
          <w:tcPr>
            <w:tcW w:w="1327" w:type="dxa"/>
          </w:tcPr>
          <w:p w14:paraId="13BD3AB9" w14:textId="108D44B5" w:rsidR="00424867" w:rsidRPr="00AB21EF" w:rsidRDefault="00424867" w:rsidP="00424867">
            <w:pPr>
              <w:jc w:val="center"/>
              <w:rPr>
                <w:rFonts w:asciiTheme="majorHAnsi" w:hAnsiTheme="majorHAnsi"/>
                <w:b/>
                <w:sz w:val="22"/>
                <w:szCs w:val="22"/>
              </w:rPr>
            </w:pPr>
            <w:r w:rsidRPr="00AB21EF">
              <w:rPr>
                <w:rFonts w:asciiTheme="majorHAnsi" w:hAnsiTheme="majorHAnsi"/>
                <w:b/>
                <w:sz w:val="22"/>
                <w:szCs w:val="22"/>
              </w:rPr>
              <w:t>Contact Name</w:t>
            </w:r>
          </w:p>
        </w:tc>
        <w:tc>
          <w:tcPr>
            <w:tcW w:w="1336" w:type="dxa"/>
          </w:tcPr>
          <w:p w14:paraId="5D82989B" w14:textId="16919758" w:rsidR="00424867" w:rsidRPr="00AB21EF" w:rsidRDefault="00424867" w:rsidP="00424867">
            <w:pPr>
              <w:jc w:val="center"/>
              <w:rPr>
                <w:rFonts w:asciiTheme="majorHAnsi" w:hAnsiTheme="majorHAnsi"/>
                <w:b/>
                <w:sz w:val="22"/>
                <w:szCs w:val="22"/>
              </w:rPr>
            </w:pPr>
            <w:r w:rsidRPr="00AB21EF">
              <w:rPr>
                <w:rFonts w:asciiTheme="majorHAnsi" w:hAnsiTheme="majorHAnsi"/>
                <w:b/>
                <w:sz w:val="22"/>
                <w:szCs w:val="22"/>
              </w:rPr>
              <w:t>Title</w:t>
            </w:r>
          </w:p>
        </w:tc>
        <w:tc>
          <w:tcPr>
            <w:tcW w:w="1855" w:type="dxa"/>
          </w:tcPr>
          <w:p w14:paraId="7625647F" w14:textId="6A67B84C" w:rsidR="00424867" w:rsidRPr="00AB21EF" w:rsidRDefault="00424867" w:rsidP="00424867">
            <w:pPr>
              <w:jc w:val="center"/>
              <w:rPr>
                <w:rFonts w:asciiTheme="majorHAnsi" w:hAnsiTheme="majorHAnsi"/>
                <w:b/>
                <w:sz w:val="22"/>
                <w:szCs w:val="22"/>
              </w:rPr>
            </w:pPr>
            <w:r w:rsidRPr="00AB21EF">
              <w:rPr>
                <w:rFonts w:asciiTheme="majorHAnsi" w:hAnsiTheme="majorHAnsi"/>
                <w:b/>
                <w:sz w:val="22"/>
                <w:szCs w:val="22"/>
              </w:rPr>
              <w:t>Organization</w:t>
            </w:r>
          </w:p>
        </w:tc>
        <w:tc>
          <w:tcPr>
            <w:tcW w:w="2957" w:type="dxa"/>
          </w:tcPr>
          <w:p w14:paraId="138D5573" w14:textId="281637B1" w:rsidR="00424867" w:rsidRPr="00AB21EF" w:rsidRDefault="00424867" w:rsidP="00424867">
            <w:pPr>
              <w:jc w:val="center"/>
              <w:rPr>
                <w:rFonts w:asciiTheme="majorHAnsi" w:hAnsiTheme="majorHAnsi"/>
                <w:b/>
                <w:sz w:val="22"/>
                <w:szCs w:val="22"/>
              </w:rPr>
            </w:pPr>
            <w:r w:rsidRPr="00AB21EF">
              <w:rPr>
                <w:rFonts w:asciiTheme="majorHAnsi" w:hAnsiTheme="majorHAnsi"/>
                <w:b/>
                <w:sz w:val="22"/>
                <w:szCs w:val="22"/>
              </w:rPr>
              <w:t>Email</w:t>
            </w:r>
          </w:p>
        </w:tc>
        <w:tc>
          <w:tcPr>
            <w:tcW w:w="2101" w:type="dxa"/>
          </w:tcPr>
          <w:p w14:paraId="3013D340" w14:textId="77635358" w:rsidR="00424867" w:rsidRPr="00AB21EF" w:rsidRDefault="00424867" w:rsidP="00424867">
            <w:pPr>
              <w:jc w:val="center"/>
              <w:rPr>
                <w:rFonts w:asciiTheme="majorHAnsi" w:hAnsiTheme="majorHAnsi"/>
                <w:b/>
                <w:sz w:val="22"/>
                <w:szCs w:val="22"/>
              </w:rPr>
            </w:pPr>
            <w:r w:rsidRPr="00AB21EF">
              <w:rPr>
                <w:rFonts w:asciiTheme="majorHAnsi" w:hAnsiTheme="majorHAnsi"/>
                <w:b/>
                <w:sz w:val="22"/>
                <w:szCs w:val="22"/>
              </w:rPr>
              <w:t>Country/Countries</w:t>
            </w:r>
          </w:p>
        </w:tc>
      </w:tr>
      <w:tr w:rsidR="00AB21EF" w:rsidRPr="00AB21EF" w14:paraId="1B0DC08E" w14:textId="77777777" w:rsidTr="008B55C1">
        <w:tc>
          <w:tcPr>
            <w:tcW w:w="1327" w:type="dxa"/>
          </w:tcPr>
          <w:p w14:paraId="16A2988A" w14:textId="50997BA9" w:rsidR="00424867" w:rsidRPr="00AB21EF" w:rsidRDefault="00C96595" w:rsidP="00EE3801">
            <w:pPr>
              <w:rPr>
                <w:rFonts w:asciiTheme="majorHAnsi" w:hAnsiTheme="majorHAnsi"/>
                <w:sz w:val="22"/>
                <w:szCs w:val="22"/>
              </w:rPr>
            </w:pPr>
            <w:r w:rsidRPr="00AB21EF">
              <w:rPr>
                <w:rFonts w:asciiTheme="majorHAnsi" w:hAnsiTheme="majorHAnsi"/>
                <w:sz w:val="22"/>
                <w:szCs w:val="22"/>
              </w:rPr>
              <w:t>Carl Fourie</w:t>
            </w:r>
          </w:p>
        </w:tc>
        <w:tc>
          <w:tcPr>
            <w:tcW w:w="1336" w:type="dxa"/>
          </w:tcPr>
          <w:p w14:paraId="76C29CFA" w14:textId="2B29F137" w:rsidR="00424867" w:rsidRPr="00AB21EF" w:rsidRDefault="00C96595" w:rsidP="00EE3801">
            <w:pPr>
              <w:rPr>
                <w:rFonts w:asciiTheme="majorHAnsi" w:hAnsiTheme="majorHAnsi"/>
                <w:sz w:val="22"/>
                <w:szCs w:val="22"/>
              </w:rPr>
            </w:pPr>
            <w:r w:rsidRPr="00AB21EF">
              <w:rPr>
                <w:rFonts w:asciiTheme="majorHAnsi" w:hAnsiTheme="majorHAnsi"/>
                <w:sz w:val="22"/>
                <w:szCs w:val="22"/>
              </w:rPr>
              <w:t>Senior Program Manager</w:t>
            </w:r>
          </w:p>
        </w:tc>
        <w:tc>
          <w:tcPr>
            <w:tcW w:w="1855" w:type="dxa"/>
          </w:tcPr>
          <w:p w14:paraId="230D2187" w14:textId="03179743" w:rsidR="00424867" w:rsidRPr="00AB21EF" w:rsidRDefault="00C96595" w:rsidP="00EE3801">
            <w:pPr>
              <w:rPr>
                <w:rFonts w:asciiTheme="majorHAnsi" w:hAnsiTheme="majorHAnsi"/>
                <w:sz w:val="22"/>
                <w:szCs w:val="22"/>
              </w:rPr>
            </w:pPr>
            <w:r w:rsidRPr="00AB21EF">
              <w:rPr>
                <w:rFonts w:asciiTheme="majorHAnsi" w:hAnsiTheme="majorHAnsi"/>
                <w:sz w:val="22"/>
                <w:szCs w:val="22"/>
              </w:rPr>
              <w:t>Jembi Health Systems</w:t>
            </w:r>
          </w:p>
        </w:tc>
        <w:tc>
          <w:tcPr>
            <w:tcW w:w="2957" w:type="dxa"/>
          </w:tcPr>
          <w:p w14:paraId="49CBF183" w14:textId="528A83E8" w:rsidR="00424867" w:rsidRPr="00AB21EF" w:rsidRDefault="00C96595" w:rsidP="00EE3801">
            <w:pPr>
              <w:rPr>
                <w:rFonts w:asciiTheme="majorHAnsi" w:hAnsiTheme="majorHAnsi"/>
                <w:sz w:val="22"/>
                <w:szCs w:val="22"/>
              </w:rPr>
            </w:pPr>
            <w:r w:rsidRPr="00AB21EF">
              <w:rPr>
                <w:rFonts w:asciiTheme="majorHAnsi" w:hAnsiTheme="majorHAnsi" w:cs="Arial"/>
                <w:sz w:val="22"/>
                <w:szCs w:val="22"/>
                <w:shd w:val="clear" w:color="auto" w:fill="FFFFFF"/>
              </w:rPr>
              <w:t>carl.fourie@jembi.org</w:t>
            </w:r>
          </w:p>
        </w:tc>
        <w:tc>
          <w:tcPr>
            <w:tcW w:w="2101" w:type="dxa"/>
          </w:tcPr>
          <w:p w14:paraId="2FFD14A5" w14:textId="1438C895" w:rsidR="00424867" w:rsidRPr="00AB21EF" w:rsidRDefault="00C96595" w:rsidP="00EE3801">
            <w:pPr>
              <w:rPr>
                <w:rFonts w:asciiTheme="majorHAnsi" w:hAnsiTheme="majorHAnsi"/>
                <w:sz w:val="22"/>
                <w:szCs w:val="22"/>
              </w:rPr>
            </w:pPr>
            <w:r w:rsidRPr="00AB21EF">
              <w:rPr>
                <w:rFonts w:asciiTheme="majorHAnsi" w:hAnsiTheme="majorHAnsi"/>
                <w:sz w:val="22"/>
                <w:szCs w:val="22"/>
              </w:rPr>
              <w:t>Mozambique, Rwanda, South Africa, Zimbabwe</w:t>
            </w:r>
          </w:p>
        </w:tc>
      </w:tr>
      <w:tr w:rsidR="00FD2D6E" w:rsidRPr="00AB21EF" w14:paraId="0B02E2D4" w14:textId="77777777" w:rsidTr="008B55C1">
        <w:tc>
          <w:tcPr>
            <w:tcW w:w="1327" w:type="dxa"/>
          </w:tcPr>
          <w:p w14:paraId="5E425609" w14:textId="6C2BBB3C" w:rsidR="00FD2D6E" w:rsidRPr="00FD2D6E" w:rsidRDefault="00FD2D6E" w:rsidP="00EE3801">
            <w:pPr>
              <w:rPr>
                <w:rFonts w:asciiTheme="majorHAnsi" w:hAnsiTheme="majorHAnsi"/>
                <w:sz w:val="22"/>
                <w:szCs w:val="22"/>
              </w:rPr>
            </w:pPr>
            <w:r w:rsidRPr="00FD2D6E">
              <w:rPr>
                <w:rFonts w:asciiTheme="majorHAnsi" w:hAnsiTheme="majorHAnsi"/>
                <w:sz w:val="22"/>
                <w:szCs w:val="22"/>
              </w:rPr>
              <w:t>Richard Gakuba</w:t>
            </w:r>
          </w:p>
        </w:tc>
        <w:tc>
          <w:tcPr>
            <w:tcW w:w="1336" w:type="dxa"/>
          </w:tcPr>
          <w:p w14:paraId="31EB78AD" w14:textId="64BACAD4" w:rsidR="00FD2D6E" w:rsidRPr="00FD2D6E" w:rsidRDefault="00FD2D6E" w:rsidP="00EE3801">
            <w:pPr>
              <w:rPr>
                <w:rFonts w:asciiTheme="majorHAnsi" w:hAnsiTheme="majorHAnsi"/>
                <w:sz w:val="22"/>
                <w:szCs w:val="22"/>
              </w:rPr>
            </w:pPr>
            <w:r w:rsidRPr="00FD2D6E">
              <w:rPr>
                <w:rFonts w:asciiTheme="majorHAnsi" w:hAnsiTheme="majorHAnsi"/>
                <w:sz w:val="22"/>
                <w:szCs w:val="22"/>
              </w:rPr>
              <w:t>Founder and Managing Director</w:t>
            </w:r>
          </w:p>
        </w:tc>
        <w:tc>
          <w:tcPr>
            <w:tcW w:w="1855" w:type="dxa"/>
          </w:tcPr>
          <w:p w14:paraId="318163C8" w14:textId="6D0425B8" w:rsidR="00FD2D6E" w:rsidRPr="00FD2D6E" w:rsidRDefault="00FD2D6E" w:rsidP="00EE3801">
            <w:pPr>
              <w:rPr>
                <w:rFonts w:asciiTheme="majorHAnsi" w:hAnsiTheme="majorHAnsi"/>
                <w:sz w:val="22"/>
                <w:szCs w:val="22"/>
              </w:rPr>
            </w:pPr>
            <w:r w:rsidRPr="00FD2D6E">
              <w:rPr>
                <w:rFonts w:asciiTheme="majorHAnsi" w:hAnsiTheme="majorHAnsi"/>
                <w:sz w:val="22"/>
                <w:szCs w:val="22"/>
              </w:rPr>
              <w:t>Health Systems Innovations Ltd</w:t>
            </w:r>
          </w:p>
        </w:tc>
        <w:tc>
          <w:tcPr>
            <w:tcW w:w="2957" w:type="dxa"/>
          </w:tcPr>
          <w:p w14:paraId="4BDDCED1" w14:textId="5327E39A" w:rsidR="00FD2D6E" w:rsidRPr="00FD2D6E" w:rsidRDefault="00FD2D6E" w:rsidP="00EE3801">
            <w:pPr>
              <w:rPr>
                <w:rFonts w:asciiTheme="majorHAnsi" w:hAnsiTheme="majorHAnsi" w:cs="Arial"/>
                <w:sz w:val="22"/>
                <w:szCs w:val="22"/>
              </w:rPr>
            </w:pPr>
            <w:r w:rsidRPr="00FD2D6E">
              <w:rPr>
                <w:rFonts w:asciiTheme="majorHAnsi" w:hAnsiTheme="majorHAnsi" w:cs="Arial"/>
                <w:sz w:val="22"/>
                <w:szCs w:val="22"/>
                <w:shd w:val="clear" w:color="auto" w:fill="FFFFFF"/>
              </w:rPr>
              <w:t>richard.gakuba@gmail.com</w:t>
            </w:r>
          </w:p>
        </w:tc>
        <w:tc>
          <w:tcPr>
            <w:tcW w:w="2101" w:type="dxa"/>
          </w:tcPr>
          <w:p w14:paraId="1753F5A1" w14:textId="3C536A08" w:rsidR="00FD2D6E" w:rsidRPr="00FD2D6E" w:rsidRDefault="00FD2D6E" w:rsidP="00EE3801">
            <w:pPr>
              <w:rPr>
                <w:rFonts w:asciiTheme="majorHAnsi" w:hAnsiTheme="majorHAnsi"/>
                <w:sz w:val="22"/>
                <w:szCs w:val="22"/>
              </w:rPr>
            </w:pPr>
            <w:r w:rsidRPr="00FD2D6E">
              <w:rPr>
                <w:rFonts w:asciiTheme="majorHAnsi" w:hAnsiTheme="majorHAnsi"/>
                <w:sz w:val="22"/>
                <w:szCs w:val="22"/>
              </w:rPr>
              <w:t>Rwanda</w:t>
            </w:r>
          </w:p>
        </w:tc>
      </w:tr>
      <w:tr w:rsidR="00FD2D6E" w:rsidRPr="00AB21EF" w14:paraId="02933B1A" w14:textId="77777777" w:rsidTr="008B55C1">
        <w:tc>
          <w:tcPr>
            <w:tcW w:w="1327" w:type="dxa"/>
          </w:tcPr>
          <w:p w14:paraId="79A0CD6A" w14:textId="193E40A0" w:rsidR="00FD2D6E" w:rsidRPr="00AB21EF" w:rsidRDefault="00FD2D6E" w:rsidP="00EE3801">
            <w:pPr>
              <w:rPr>
                <w:rFonts w:asciiTheme="majorHAnsi" w:hAnsiTheme="majorHAnsi"/>
                <w:sz w:val="22"/>
                <w:szCs w:val="22"/>
              </w:rPr>
            </w:pPr>
            <w:r w:rsidRPr="00AB21EF">
              <w:rPr>
                <w:rFonts w:asciiTheme="majorHAnsi" w:hAnsiTheme="majorHAnsi"/>
                <w:sz w:val="22"/>
                <w:szCs w:val="22"/>
              </w:rPr>
              <w:t>Owen Heckrath</w:t>
            </w:r>
          </w:p>
        </w:tc>
        <w:tc>
          <w:tcPr>
            <w:tcW w:w="1336" w:type="dxa"/>
          </w:tcPr>
          <w:p w14:paraId="28F566CD" w14:textId="4F59AC7A" w:rsidR="00FD2D6E" w:rsidRPr="00AB21EF" w:rsidRDefault="00FD2D6E" w:rsidP="00EE3801">
            <w:pPr>
              <w:rPr>
                <w:rFonts w:asciiTheme="majorHAnsi" w:hAnsiTheme="majorHAnsi"/>
                <w:sz w:val="22"/>
                <w:szCs w:val="22"/>
              </w:rPr>
            </w:pPr>
            <w:r w:rsidRPr="00AB21EF">
              <w:rPr>
                <w:rFonts w:asciiTheme="majorHAnsi" w:hAnsiTheme="majorHAnsi"/>
                <w:sz w:val="22"/>
                <w:szCs w:val="22"/>
              </w:rPr>
              <w:t>Health Information Systems Director</w:t>
            </w:r>
          </w:p>
        </w:tc>
        <w:tc>
          <w:tcPr>
            <w:tcW w:w="1855" w:type="dxa"/>
          </w:tcPr>
          <w:p w14:paraId="697593B9" w14:textId="3E3A95B1" w:rsidR="00FD2D6E" w:rsidRPr="00AB21EF" w:rsidRDefault="00FD2D6E" w:rsidP="00EE3801">
            <w:pPr>
              <w:rPr>
                <w:rFonts w:asciiTheme="majorHAnsi" w:hAnsiTheme="majorHAnsi"/>
                <w:sz w:val="22"/>
                <w:szCs w:val="22"/>
              </w:rPr>
            </w:pPr>
            <w:r w:rsidRPr="00AB21EF">
              <w:rPr>
                <w:rFonts w:asciiTheme="majorHAnsi" w:hAnsiTheme="majorHAnsi"/>
                <w:sz w:val="22"/>
                <w:szCs w:val="22"/>
              </w:rPr>
              <w:t>Jembi Health Systems</w:t>
            </w:r>
          </w:p>
        </w:tc>
        <w:tc>
          <w:tcPr>
            <w:tcW w:w="2957" w:type="dxa"/>
          </w:tcPr>
          <w:p w14:paraId="5EB10476" w14:textId="0F227976" w:rsidR="00FD2D6E" w:rsidRPr="00AB21EF" w:rsidRDefault="00FD2D6E" w:rsidP="00EE3801">
            <w:pPr>
              <w:rPr>
                <w:rFonts w:asciiTheme="majorHAnsi" w:hAnsiTheme="majorHAnsi"/>
                <w:sz w:val="22"/>
                <w:szCs w:val="22"/>
              </w:rPr>
            </w:pPr>
            <w:r w:rsidRPr="00AB21EF">
              <w:rPr>
                <w:rFonts w:asciiTheme="majorHAnsi" w:hAnsiTheme="majorHAnsi" w:cs="Arial"/>
                <w:sz w:val="22"/>
                <w:szCs w:val="22"/>
              </w:rPr>
              <w:t>owen.heckrath@jembi.org</w:t>
            </w:r>
          </w:p>
        </w:tc>
        <w:tc>
          <w:tcPr>
            <w:tcW w:w="2101" w:type="dxa"/>
          </w:tcPr>
          <w:p w14:paraId="4804FE0E" w14:textId="707CCAF5" w:rsidR="00FD2D6E" w:rsidRPr="00AB21EF" w:rsidRDefault="00FD2D6E" w:rsidP="00EE3801">
            <w:pPr>
              <w:rPr>
                <w:rFonts w:asciiTheme="majorHAnsi" w:hAnsiTheme="majorHAnsi"/>
                <w:sz w:val="22"/>
                <w:szCs w:val="22"/>
              </w:rPr>
            </w:pPr>
            <w:r w:rsidRPr="00AB21EF">
              <w:rPr>
                <w:rFonts w:asciiTheme="majorHAnsi" w:hAnsiTheme="majorHAnsi"/>
                <w:sz w:val="22"/>
                <w:szCs w:val="22"/>
              </w:rPr>
              <w:t>Mozambique, Rwanda, South Africa, Zimbabwe</w:t>
            </w:r>
          </w:p>
        </w:tc>
      </w:tr>
      <w:tr w:rsidR="00FD2D6E" w:rsidRPr="00AB21EF" w14:paraId="5F731A1E" w14:textId="77777777" w:rsidTr="008B55C1">
        <w:tc>
          <w:tcPr>
            <w:tcW w:w="1327" w:type="dxa"/>
          </w:tcPr>
          <w:p w14:paraId="654F0A04" w14:textId="1BA1FDDB" w:rsidR="00FD2D6E" w:rsidRPr="00AB21EF" w:rsidRDefault="00FD2D6E" w:rsidP="00EE3801">
            <w:pPr>
              <w:rPr>
                <w:rFonts w:asciiTheme="majorHAnsi" w:hAnsiTheme="majorHAnsi"/>
                <w:sz w:val="22"/>
                <w:szCs w:val="22"/>
              </w:rPr>
            </w:pPr>
            <w:r w:rsidRPr="00AB21EF">
              <w:rPr>
                <w:rFonts w:asciiTheme="majorHAnsi" w:hAnsiTheme="majorHAnsi"/>
                <w:sz w:val="22"/>
                <w:szCs w:val="22"/>
              </w:rPr>
              <w:t>Patty Mechael</w:t>
            </w:r>
          </w:p>
        </w:tc>
        <w:tc>
          <w:tcPr>
            <w:tcW w:w="1336" w:type="dxa"/>
          </w:tcPr>
          <w:p w14:paraId="244036CA" w14:textId="3094747B" w:rsidR="00FD2D6E" w:rsidRPr="00AB21EF" w:rsidRDefault="00FD2D6E" w:rsidP="00EE3801">
            <w:pPr>
              <w:rPr>
                <w:rFonts w:asciiTheme="majorHAnsi" w:hAnsiTheme="majorHAnsi"/>
                <w:sz w:val="22"/>
                <w:szCs w:val="22"/>
              </w:rPr>
            </w:pPr>
            <w:r w:rsidRPr="00AB21EF">
              <w:rPr>
                <w:rFonts w:asciiTheme="majorHAnsi" w:hAnsiTheme="majorHAnsi"/>
                <w:sz w:val="22"/>
                <w:szCs w:val="22"/>
              </w:rPr>
              <w:t>Principal and Policy Lead</w:t>
            </w:r>
          </w:p>
        </w:tc>
        <w:tc>
          <w:tcPr>
            <w:tcW w:w="1855" w:type="dxa"/>
          </w:tcPr>
          <w:p w14:paraId="4E82AD1D" w14:textId="4A4555D2" w:rsidR="00FD2D6E" w:rsidRPr="00AB21EF" w:rsidRDefault="00FD2D6E" w:rsidP="00EE3801">
            <w:pPr>
              <w:rPr>
                <w:rFonts w:asciiTheme="majorHAnsi" w:hAnsiTheme="majorHAnsi"/>
                <w:sz w:val="22"/>
                <w:szCs w:val="22"/>
              </w:rPr>
            </w:pPr>
            <w:r w:rsidRPr="00AB21EF">
              <w:rPr>
                <w:rFonts w:asciiTheme="majorHAnsi" w:hAnsiTheme="majorHAnsi"/>
                <w:sz w:val="22"/>
                <w:szCs w:val="22"/>
              </w:rPr>
              <w:t xml:space="preserve">HealthEnabled </w:t>
            </w:r>
          </w:p>
        </w:tc>
        <w:tc>
          <w:tcPr>
            <w:tcW w:w="2957" w:type="dxa"/>
          </w:tcPr>
          <w:p w14:paraId="06380130" w14:textId="22A3ED7A" w:rsidR="00FD2D6E" w:rsidRPr="00AB21EF" w:rsidRDefault="00FD2D6E" w:rsidP="00EE3801">
            <w:pPr>
              <w:rPr>
                <w:rFonts w:asciiTheme="majorHAnsi" w:hAnsiTheme="majorHAnsi"/>
                <w:sz w:val="22"/>
                <w:szCs w:val="22"/>
              </w:rPr>
            </w:pPr>
            <w:r w:rsidRPr="00AB21EF">
              <w:rPr>
                <w:rFonts w:asciiTheme="majorHAnsi" w:hAnsiTheme="majorHAnsi" w:cs="Arial"/>
                <w:sz w:val="22"/>
                <w:szCs w:val="22"/>
              </w:rPr>
              <w:t>patty@healthenabled.org</w:t>
            </w:r>
          </w:p>
        </w:tc>
        <w:tc>
          <w:tcPr>
            <w:tcW w:w="2101" w:type="dxa"/>
          </w:tcPr>
          <w:p w14:paraId="2D924523" w14:textId="2B23CC95" w:rsidR="00FD2D6E" w:rsidRPr="00AB21EF" w:rsidRDefault="00FD2D6E" w:rsidP="00EE3801">
            <w:pPr>
              <w:rPr>
                <w:rFonts w:asciiTheme="majorHAnsi" w:hAnsiTheme="majorHAnsi"/>
                <w:sz w:val="22"/>
                <w:szCs w:val="22"/>
              </w:rPr>
            </w:pPr>
            <w:r w:rsidRPr="00AB21EF">
              <w:rPr>
                <w:rFonts w:asciiTheme="majorHAnsi" w:hAnsiTheme="majorHAnsi"/>
                <w:sz w:val="22"/>
                <w:szCs w:val="22"/>
              </w:rPr>
              <w:t>Malawi, Nigeria, Rwanda, Uganda</w:t>
            </w:r>
          </w:p>
        </w:tc>
      </w:tr>
      <w:tr w:rsidR="00FD2D6E" w:rsidRPr="00AB21EF" w14:paraId="43EBB72A" w14:textId="77777777" w:rsidTr="008B55C1">
        <w:tc>
          <w:tcPr>
            <w:tcW w:w="1327" w:type="dxa"/>
          </w:tcPr>
          <w:p w14:paraId="5DBDD8E6" w14:textId="176C3A17" w:rsidR="00FD2D6E" w:rsidRPr="00AB21EF" w:rsidRDefault="00FD2D6E" w:rsidP="00EE3801">
            <w:pPr>
              <w:rPr>
                <w:rFonts w:asciiTheme="majorHAnsi" w:hAnsiTheme="majorHAnsi"/>
                <w:sz w:val="22"/>
                <w:szCs w:val="22"/>
              </w:rPr>
            </w:pPr>
            <w:r w:rsidRPr="00AB21EF">
              <w:rPr>
                <w:rFonts w:asciiTheme="majorHAnsi" w:hAnsiTheme="majorHAnsi"/>
                <w:sz w:val="22"/>
                <w:szCs w:val="22"/>
              </w:rPr>
              <w:t>Simon Ndira</w:t>
            </w:r>
          </w:p>
        </w:tc>
        <w:tc>
          <w:tcPr>
            <w:tcW w:w="1336" w:type="dxa"/>
          </w:tcPr>
          <w:p w14:paraId="5736CDE3" w14:textId="2DFD3330" w:rsidR="00FD2D6E" w:rsidRPr="00AB21EF" w:rsidRDefault="00FD2D6E" w:rsidP="00EE3801">
            <w:pPr>
              <w:rPr>
                <w:rFonts w:asciiTheme="majorHAnsi" w:hAnsiTheme="majorHAnsi"/>
                <w:sz w:val="22"/>
                <w:szCs w:val="22"/>
              </w:rPr>
            </w:pPr>
            <w:r w:rsidRPr="00AB21EF">
              <w:rPr>
                <w:rFonts w:asciiTheme="majorHAnsi" w:hAnsiTheme="majorHAnsi"/>
                <w:sz w:val="22"/>
                <w:szCs w:val="22"/>
              </w:rPr>
              <w:t>Senior Technical Advisor HIS/Team Leader</w:t>
            </w:r>
          </w:p>
        </w:tc>
        <w:tc>
          <w:tcPr>
            <w:tcW w:w="1855" w:type="dxa"/>
          </w:tcPr>
          <w:p w14:paraId="6C85719A" w14:textId="65A18011" w:rsidR="00FD2D6E" w:rsidRPr="00AB21EF" w:rsidRDefault="00FD2D6E" w:rsidP="00EE3801">
            <w:pPr>
              <w:rPr>
                <w:rFonts w:asciiTheme="majorHAnsi" w:hAnsiTheme="majorHAnsi"/>
                <w:sz w:val="22"/>
                <w:szCs w:val="22"/>
              </w:rPr>
            </w:pPr>
            <w:r w:rsidRPr="00AB21EF">
              <w:rPr>
                <w:rFonts w:asciiTheme="majorHAnsi" w:hAnsiTheme="majorHAnsi"/>
                <w:sz w:val="22"/>
                <w:szCs w:val="22"/>
              </w:rPr>
              <w:t>Health Information Systems Strengthening, MoH Malawi</w:t>
            </w:r>
          </w:p>
        </w:tc>
        <w:tc>
          <w:tcPr>
            <w:tcW w:w="2957" w:type="dxa"/>
          </w:tcPr>
          <w:p w14:paraId="56640F9D" w14:textId="4EF3F1EA" w:rsidR="00FD2D6E" w:rsidRPr="00AB21EF" w:rsidRDefault="00FD2D6E" w:rsidP="00EE3801">
            <w:pPr>
              <w:rPr>
                <w:rFonts w:asciiTheme="majorHAnsi" w:hAnsiTheme="majorHAnsi"/>
                <w:sz w:val="22"/>
                <w:szCs w:val="22"/>
              </w:rPr>
            </w:pPr>
            <w:r w:rsidRPr="00AB21EF">
              <w:rPr>
                <w:rFonts w:asciiTheme="majorHAnsi" w:hAnsiTheme="majorHAnsi" w:cs="Arial"/>
                <w:sz w:val="22"/>
                <w:szCs w:val="22"/>
                <w:shd w:val="clear" w:color="auto" w:fill="FFFFFF"/>
              </w:rPr>
              <w:t>sndira@sionapros.com</w:t>
            </w:r>
          </w:p>
        </w:tc>
        <w:tc>
          <w:tcPr>
            <w:tcW w:w="2101" w:type="dxa"/>
          </w:tcPr>
          <w:p w14:paraId="57B7DED0" w14:textId="7F948A33" w:rsidR="00FD2D6E" w:rsidRPr="00AB21EF" w:rsidRDefault="00FD2D6E" w:rsidP="00EE3801">
            <w:pPr>
              <w:rPr>
                <w:rFonts w:asciiTheme="majorHAnsi" w:hAnsiTheme="majorHAnsi"/>
                <w:sz w:val="22"/>
                <w:szCs w:val="22"/>
              </w:rPr>
            </w:pPr>
            <w:r w:rsidRPr="00AB21EF">
              <w:rPr>
                <w:rFonts w:asciiTheme="majorHAnsi" w:hAnsiTheme="majorHAnsi"/>
                <w:sz w:val="22"/>
                <w:szCs w:val="22"/>
              </w:rPr>
              <w:t>Malawi, Uganda</w:t>
            </w:r>
          </w:p>
        </w:tc>
      </w:tr>
      <w:tr w:rsidR="00FD2D6E" w:rsidRPr="00AB21EF" w14:paraId="65574D8D" w14:textId="77777777" w:rsidTr="008B55C1">
        <w:tc>
          <w:tcPr>
            <w:tcW w:w="1327" w:type="dxa"/>
          </w:tcPr>
          <w:p w14:paraId="44DEABC9" w14:textId="592FF876" w:rsidR="00FD2D6E" w:rsidRPr="00AB21EF" w:rsidRDefault="00FD2D6E" w:rsidP="00EE3801">
            <w:pPr>
              <w:rPr>
                <w:rFonts w:asciiTheme="majorHAnsi" w:hAnsiTheme="majorHAnsi"/>
                <w:sz w:val="22"/>
                <w:szCs w:val="22"/>
              </w:rPr>
            </w:pPr>
            <w:r w:rsidRPr="00AB21EF">
              <w:rPr>
                <w:rFonts w:asciiTheme="majorHAnsi" w:hAnsiTheme="majorHAnsi"/>
                <w:sz w:val="22"/>
                <w:szCs w:val="22"/>
              </w:rPr>
              <w:t>Julia Royall</w:t>
            </w:r>
          </w:p>
        </w:tc>
        <w:tc>
          <w:tcPr>
            <w:tcW w:w="1336" w:type="dxa"/>
          </w:tcPr>
          <w:p w14:paraId="2D711C95" w14:textId="6C8086DE" w:rsidR="00FD2D6E" w:rsidRPr="00AB21EF" w:rsidRDefault="00FD2D6E" w:rsidP="00EE3801">
            <w:pPr>
              <w:rPr>
                <w:rFonts w:asciiTheme="majorHAnsi" w:hAnsiTheme="majorHAnsi"/>
                <w:sz w:val="22"/>
                <w:szCs w:val="22"/>
              </w:rPr>
            </w:pPr>
            <w:r w:rsidRPr="00AB21EF">
              <w:rPr>
                <w:rFonts w:asciiTheme="majorHAnsi" w:hAnsiTheme="majorHAnsi"/>
                <w:sz w:val="22"/>
                <w:szCs w:val="22"/>
              </w:rPr>
              <w:t>Global Health Information Specialist</w:t>
            </w:r>
          </w:p>
        </w:tc>
        <w:tc>
          <w:tcPr>
            <w:tcW w:w="1855" w:type="dxa"/>
          </w:tcPr>
          <w:p w14:paraId="67623C72" w14:textId="6ACEB87B" w:rsidR="00FD2D6E" w:rsidRPr="008B55C1" w:rsidRDefault="00BB0ADA" w:rsidP="00EE3801">
            <w:pPr>
              <w:rPr>
                <w:rFonts w:asciiTheme="majorHAnsi" w:hAnsiTheme="majorHAnsi"/>
                <w:sz w:val="22"/>
                <w:szCs w:val="22"/>
              </w:rPr>
            </w:pPr>
            <w:hyperlink r:id="rId51" w:history="1">
              <w:r w:rsidR="00FD2D6E" w:rsidRPr="008B55C1">
                <w:rPr>
                  <w:rStyle w:val="Hyperlink"/>
                  <w:rFonts w:asciiTheme="majorHAnsi" w:hAnsiTheme="majorHAnsi"/>
                  <w:color w:val="auto"/>
                  <w:sz w:val="22"/>
                  <w:szCs w:val="22"/>
                  <w:u w:val="none"/>
                </w:rPr>
                <w:t>www.juliaroyall.com</w:t>
              </w:r>
            </w:hyperlink>
          </w:p>
        </w:tc>
        <w:tc>
          <w:tcPr>
            <w:tcW w:w="2957" w:type="dxa"/>
          </w:tcPr>
          <w:p w14:paraId="3EB5C3B8" w14:textId="7C82A019" w:rsidR="00FD2D6E" w:rsidRPr="00AB21EF" w:rsidRDefault="00FD2D6E" w:rsidP="00EE3801">
            <w:pPr>
              <w:rPr>
                <w:rFonts w:asciiTheme="majorHAnsi" w:hAnsiTheme="majorHAnsi"/>
                <w:sz w:val="22"/>
                <w:szCs w:val="22"/>
              </w:rPr>
            </w:pPr>
            <w:r w:rsidRPr="00AB21EF">
              <w:rPr>
                <w:rFonts w:asciiTheme="majorHAnsi" w:hAnsiTheme="majorHAnsi" w:cs="Arial"/>
                <w:sz w:val="22"/>
                <w:szCs w:val="22"/>
                <w:shd w:val="clear" w:color="auto" w:fill="FFFFFF"/>
              </w:rPr>
              <w:t>julia.royall@gmail.com</w:t>
            </w:r>
          </w:p>
        </w:tc>
        <w:tc>
          <w:tcPr>
            <w:tcW w:w="2101" w:type="dxa"/>
          </w:tcPr>
          <w:p w14:paraId="5E224FAB" w14:textId="205BBE9B" w:rsidR="00FD2D6E" w:rsidRPr="00AB21EF" w:rsidRDefault="00FD2D6E" w:rsidP="00EE3801">
            <w:pPr>
              <w:rPr>
                <w:rFonts w:asciiTheme="majorHAnsi" w:hAnsiTheme="majorHAnsi"/>
                <w:sz w:val="22"/>
                <w:szCs w:val="22"/>
              </w:rPr>
            </w:pPr>
            <w:r w:rsidRPr="00AB21EF">
              <w:rPr>
                <w:rFonts w:asciiTheme="majorHAnsi" w:hAnsiTheme="majorHAnsi"/>
                <w:sz w:val="22"/>
                <w:szCs w:val="22"/>
              </w:rPr>
              <w:t>Uganda, African Union</w:t>
            </w:r>
          </w:p>
        </w:tc>
      </w:tr>
      <w:tr w:rsidR="00FD2D6E" w:rsidRPr="00AB21EF" w14:paraId="5C353959" w14:textId="77777777" w:rsidTr="008B55C1">
        <w:tc>
          <w:tcPr>
            <w:tcW w:w="1327" w:type="dxa"/>
          </w:tcPr>
          <w:p w14:paraId="614712C8" w14:textId="705EF7DD" w:rsidR="00FD2D6E" w:rsidRPr="00AB21EF" w:rsidRDefault="00FD2D6E" w:rsidP="00EE3801">
            <w:pPr>
              <w:rPr>
                <w:rFonts w:asciiTheme="majorHAnsi" w:hAnsiTheme="majorHAnsi"/>
                <w:sz w:val="22"/>
                <w:szCs w:val="22"/>
              </w:rPr>
            </w:pPr>
            <w:r w:rsidRPr="00AB21EF">
              <w:rPr>
                <w:rFonts w:asciiTheme="majorHAnsi" w:hAnsiTheme="majorHAnsi"/>
                <w:sz w:val="22"/>
                <w:szCs w:val="22"/>
              </w:rPr>
              <w:t>Christopher Seebregts</w:t>
            </w:r>
          </w:p>
        </w:tc>
        <w:tc>
          <w:tcPr>
            <w:tcW w:w="1336" w:type="dxa"/>
          </w:tcPr>
          <w:p w14:paraId="7EA86675" w14:textId="078405C3" w:rsidR="00FD2D6E" w:rsidRPr="00AB21EF" w:rsidRDefault="00FD2D6E" w:rsidP="00EE3801">
            <w:pPr>
              <w:rPr>
                <w:rFonts w:asciiTheme="majorHAnsi" w:hAnsiTheme="majorHAnsi"/>
                <w:sz w:val="22"/>
                <w:szCs w:val="22"/>
              </w:rPr>
            </w:pPr>
            <w:r w:rsidRPr="00AB21EF">
              <w:rPr>
                <w:rFonts w:asciiTheme="majorHAnsi" w:hAnsiTheme="majorHAnsi"/>
                <w:sz w:val="22"/>
                <w:szCs w:val="22"/>
              </w:rPr>
              <w:t>CEO and eHealth Director</w:t>
            </w:r>
          </w:p>
        </w:tc>
        <w:tc>
          <w:tcPr>
            <w:tcW w:w="1855" w:type="dxa"/>
          </w:tcPr>
          <w:p w14:paraId="1D6F949C" w14:textId="0657C004" w:rsidR="00FD2D6E" w:rsidRPr="00AB21EF" w:rsidRDefault="00FD2D6E" w:rsidP="00EE3801">
            <w:pPr>
              <w:rPr>
                <w:rFonts w:asciiTheme="majorHAnsi" w:hAnsiTheme="majorHAnsi"/>
                <w:sz w:val="22"/>
                <w:szCs w:val="22"/>
              </w:rPr>
            </w:pPr>
            <w:r w:rsidRPr="00AB21EF">
              <w:rPr>
                <w:rFonts w:asciiTheme="majorHAnsi" w:hAnsiTheme="majorHAnsi"/>
                <w:sz w:val="22"/>
                <w:szCs w:val="22"/>
              </w:rPr>
              <w:t>Jembi Health Systems</w:t>
            </w:r>
          </w:p>
        </w:tc>
        <w:tc>
          <w:tcPr>
            <w:tcW w:w="2957" w:type="dxa"/>
          </w:tcPr>
          <w:p w14:paraId="5CA4F31F" w14:textId="0C52152B" w:rsidR="00FD2D6E" w:rsidRPr="00AB21EF" w:rsidRDefault="00FD2D6E" w:rsidP="00EE3801">
            <w:pPr>
              <w:rPr>
                <w:rFonts w:asciiTheme="majorHAnsi" w:hAnsiTheme="majorHAnsi"/>
                <w:sz w:val="22"/>
                <w:szCs w:val="22"/>
              </w:rPr>
            </w:pPr>
            <w:r w:rsidRPr="00AB21EF">
              <w:rPr>
                <w:rFonts w:asciiTheme="majorHAnsi" w:hAnsiTheme="majorHAnsi" w:cs="Arial"/>
                <w:sz w:val="22"/>
                <w:szCs w:val="22"/>
              </w:rPr>
              <w:t>chris@jembi.org</w:t>
            </w:r>
          </w:p>
        </w:tc>
        <w:tc>
          <w:tcPr>
            <w:tcW w:w="2101" w:type="dxa"/>
          </w:tcPr>
          <w:p w14:paraId="3F0FCCEB" w14:textId="5A97AAE5" w:rsidR="00FD2D6E" w:rsidRPr="00AB21EF" w:rsidRDefault="00FD2D6E" w:rsidP="00EE3801">
            <w:pPr>
              <w:rPr>
                <w:rFonts w:asciiTheme="majorHAnsi" w:hAnsiTheme="majorHAnsi"/>
                <w:sz w:val="22"/>
                <w:szCs w:val="22"/>
              </w:rPr>
            </w:pPr>
            <w:r w:rsidRPr="00AB21EF">
              <w:rPr>
                <w:rFonts w:asciiTheme="majorHAnsi" w:hAnsiTheme="majorHAnsi"/>
                <w:sz w:val="22"/>
                <w:szCs w:val="22"/>
              </w:rPr>
              <w:t>Mozambique, Rwanda, South Africa, Zimbabwe</w:t>
            </w:r>
          </w:p>
        </w:tc>
      </w:tr>
      <w:tr w:rsidR="00FD2D6E" w:rsidRPr="00AB21EF" w14:paraId="692869CB" w14:textId="77777777" w:rsidTr="008B55C1">
        <w:tc>
          <w:tcPr>
            <w:tcW w:w="1327" w:type="dxa"/>
          </w:tcPr>
          <w:p w14:paraId="00E5ED58" w14:textId="6C07A4FA" w:rsidR="00FD2D6E" w:rsidRPr="00AB21EF" w:rsidRDefault="00A033C6" w:rsidP="00EE3801">
            <w:pPr>
              <w:rPr>
                <w:rFonts w:asciiTheme="majorHAnsi" w:hAnsiTheme="majorHAnsi"/>
                <w:sz w:val="22"/>
                <w:szCs w:val="22"/>
              </w:rPr>
            </w:pPr>
            <w:r>
              <w:rPr>
                <w:rFonts w:asciiTheme="majorHAnsi" w:hAnsiTheme="majorHAnsi"/>
                <w:sz w:val="22"/>
                <w:szCs w:val="22"/>
              </w:rPr>
              <w:t>David Van Dyke</w:t>
            </w:r>
          </w:p>
        </w:tc>
        <w:tc>
          <w:tcPr>
            <w:tcW w:w="1336" w:type="dxa"/>
          </w:tcPr>
          <w:p w14:paraId="0FCEEC90" w14:textId="7C50F763" w:rsidR="00FD2D6E" w:rsidRPr="00AB21EF" w:rsidRDefault="00A033C6" w:rsidP="00EE3801">
            <w:pPr>
              <w:rPr>
                <w:rFonts w:asciiTheme="majorHAnsi" w:hAnsiTheme="majorHAnsi"/>
                <w:sz w:val="22"/>
                <w:szCs w:val="22"/>
              </w:rPr>
            </w:pPr>
            <w:r>
              <w:rPr>
                <w:rFonts w:asciiTheme="majorHAnsi" w:hAnsiTheme="majorHAnsi"/>
                <w:sz w:val="22"/>
                <w:szCs w:val="22"/>
              </w:rPr>
              <w:t>Associate CMIO</w:t>
            </w:r>
          </w:p>
        </w:tc>
        <w:tc>
          <w:tcPr>
            <w:tcW w:w="1855" w:type="dxa"/>
          </w:tcPr>
          <w:p w14:paraId="10560E82" w14:textId="56A40803" w:rsidR="00FD2D6E" w:rsidRPr="00AB21EF" w:rsidRDefault="00A033C6" w:rsidP="00EE3801">
            <w:pPr>
              <w:rPr>
                <w:rFonts w:asciiTheme="majorHAnsi" w:hAnsiTheme="majorHAnsi"/>
                <w:sz w:val="22"/>
                <w:szCs w:val="22"/>
              </w:rPr>
            </w:pPr>
            <w:r>
              <w:rPr>
                <w:rFonts w:asciiTheme="majorHAnsi" w:hAnsiTheme="majorHAnsi"/>
                <w:sz w:val="22"/>
                <w:szCs w:val="22"/>
              </w:rPr>
              <w:t>Helen DeVos Children’s Hospital at Spectrum Health</w:t>
            </w:r>
          </w:p>
        </w:tc>
        <w:tc>
          <w:tcPr>
            <w:tcW w:w="2957" w:type="dxa"/>
          </w:tcPr>
          <w:p w14:paraId="50774710" w14:textId="33F57EA1" w:rsidR="00FD2D6E" w:rsidRPr="00A033C6" w:rsidRDefault="00A033C6" w:rsidP="00A033C6">
            <w:pPr>
              <w:rPr>
                <w:rFonts w:asciiTheme="majorHAnsi" w:hAnsiTheme="majorHAnsi"/>
                <w:sz w:val="22"/>
                <w:szCs w:val="22"/>
              </w:rPr>
            </w:pPr>
            <w:r w:rsidRPr="00A418BD">
              <w:rPr>
                <w:rFonts w:asciiTheme="majorHAnsi" w:hAnsiTheme="majorHAnsi" w:cs="Arial"/>
                <w:sz w:val="22"/>
                <w:szCs w:val="22"/>
                <w:shd w:val="clear" w:color="auto" w:fill="FFFFFF"/>
              </w:rPr>
              <w:t>david.vandyke@helendevoschildrens.org</w:t>
            </w:r>
          </w:p>
        </w:tc>
        <w:tc>
          <w:tcPr>
            <w:tcW w:w="2101" w:type="dxa"/>
          </w:tcPr>
          <w:p w14:paraId="0AEE0AFE" w14:textId="6DD43FA4" w:rsidR="00FD2D6E" w:rsidRPr="00AB21EF" w:rsidRDefault="00A033C6" w:rsidP="00EE3801">
            <w:pPr>
              <w:rPr>
                <w:rFonts w:asciiTheme="majorHAnsi" w:hAnsiTheme="majorHAnsi"/>
                <w:sz w:val="22"/>
                <w:szCs w:val="22"/>
              </w:rPr>
            </w:pPr>
            <w:r>
              <w:rPr>
                <w:rFonts w:asciiTheme="majorHAnsi" w:hAnsiTheme="majorHAnsi"/>
                <w:sz w:val="22"/>
                <w:szCs w:val="22"/>
              </w:rPr>
              <w:t>Cameroon, Sierra Leone</w:t>
            </w:r>
          </w:p>
        </w:tc>
      </w:tr>
      <w:tr w:rsidR="00912911" w:rsidRPr="00AB21EF" w14:paraId="71A44486" w14:textId="77777777" w:rsidTr="008B55C1">
        <w:tc>
          <w:tcPr>
            <w:tcW w:w="1327" w:type="dxa"/>
          </w:tcPr>
          <w:p w14:paraId="1F1B6510" w14:textId="45E5ABCF" w:rsidR="00912911" w:rsidRDefault="00912911" w:rsidP="00EE3801">
            <w:pPr>
              <w:rPr>
                <w:rFonts w:asciiTheme="majorHAnsi" w:hAnsiTheme="majorHAnsi"/>
                <w:sz w:val="22"/>
                <w:szCs w:val="22"/>
              </w:rPr>
            </w:pPr>
            <w:r>
              <w:rPr>
                <w:rFonts w:asciiTheme="majorHAnsi" w:hAnsiTheme="majorHAnsi"/>
                <w:sz w:val="22"/>
                <w:szCs w:val="22"/>
              </w:rPr>
              <w:t>Steven Wanyee</w:t>
            </w:r>
          </w:p>
        </w:tc>
        <w:tc>
          <w:tcPr>
            <w:tcW w:w="1336" w:type="dxa"/>
          </w:tcPr>
          <w:p w14:paraId="7900DE4A" w14:textId="3C9042EA" w:rsidR="00912911" w:rsidRDefault="00912911" w:rsidP="00EE3801">
            <w:pPr>
              <w:rPr>
                <w:rFonts w:asciiTheme="majorHAnsi" w:hAnsiTheme="majorHAnsi"/>
                <w:sz w:val="22"/>
                <w:szCs w:val="22"/>
              </w:rPr>
            </w:pPr>
            <w:r>
              <w:rPr>
                <w:rFonts w:asciiTheme="majorHAnsi" w:hAnsiTheme="majorHAnsi"/>
                <w:sz w:val="22"/>
                <w:szCs w:val="22"/>
              </w:rPr>
              <w:t>EHR/EMR Implementation and Interoperability Manager</w:t>
            </w:r>
          </w:p>
        </w:tc>
        <w:tc>
          <w:tcPr>
            <w:tcW w:w="1855" w:type="dxa"/>
          </w:tcPr>
          <w:p w14:paraId="315CC807" w14:textId="0563E78C" w:rsidR="00912911" w:rsidRDefault="00912911" w:rsidP="00EE3801">
            <w:pPr>
              <w:rPr>
                <w:rFonts w:asciiTheme="majorHAnsi" w:hAnsiTheme="majorHAnsi"/>
                <w:sz w:val="22"/>
                <w:szCs w:val="22"/>
              </w:rPr>
            </w:pPr>
            <w:r>
              <w:rPr>
                <w:rFonts w:asciiTheme="majorHAnsi" w:hAnsiTheme="majorHAnsi"/>
                <w:sz w:val="22"/>
                <w:szCs w:val="22"/>
              </w:rPr>
              <w:t>I-TECH</w:t>
            </w:r>
          </w:p>
        </w:tc>
        <w:tc>
          <w:tcPr>
            <w:tcW w:w="2957" w:type="dxa"/>
          </w:tcPr>
          <w:p w14:paraId="4F7273DB" w14:textId="5E76199E" w:rsidR="00912911" w:rsidRPr="00912911" w:rsidRDefault="00912911" w:rsidP="00A033C6">
            <w:pPr>
              <w:rPr>
                <w:rFonts w:asciiTheme="majorHAnsi" w:hAnsiTheme="majorHAnsi" w:cs="Arial"/>
                <w:sz w:val="22"/>
                <w:szCs w:val="22"/>
                <w:shd w:val="clear" w:color="auto" w:fill="FFFFFF"/>
              </w:rPr>
            </w:pPr>
            <w:r w:rsidRPr="00912911">
              <w:rPr>
                <w:rFonts w:asciiTheme="majorHAnsi" w:hAnsiTheme="majorHAnsi" w:cs="Arial"/>
                <w:color w:val="222222"/>
                <w:sz w:val="22"/>
                <w:szCs w:val="22"/>
                <w:shd w:val="clear" w:color="auto" w:fill="FFFFFF"/>
              </w:rPr>
              <w:t>swanyee@intellisoftkenya.com</w:t>
            </w:r>
          </w:p>
        </w:tc>
        <w:tc>
          <w:tcPr>
            <w:tcW w:w="2101" w:type="dxa"/>
          </w:tcPr>
          <w:p w14:paraId="74D3850D" w14:textId="64B6A5D9" w:rsidR="00912911" w:rsidRDefault="00912911" w:rsidP="00EE3801">
            <w:pPr>
              <w:rPr>
                <w:rFonts w:asciiTheme="majorHAnsi" w:hAnsiTheme="majorHAnsi"/>
                <w:sz w:val="22"/>
                <w:szCs w:val="22"/>
              </w:rPr>
            </w:pPr>
            <w:r>
              <w:rPr>
                <w:rFonts w:asciiTheme="majorHAnsi" w:hAnsiTheme="majorHAnsi"/>
                <w:sz w:val="22"/>
                <w:szCs w:val="22"/>
              </w:rPr>
              <w:t>Kenya</w:t>
            </w:r>
          </w:p>
        </w:tc>
      </w:tr>
    </w:tbl>
    <w:p w14:paraId="4C5041CF" w14:textId="77777777" w:rsidR="00EE3801" w:rsidRDefault="00EE3801" w:rsidP="00EE3801">
      <w:pPr>
        <w:rPr>
          <w:rFonts w:asciiTheme="majorHAnsi" w:hAnsiTheme="majorHAnsi"/>
        </w:rPr>
      </w:pPr>
    </w:p>
    <w:p w14:paraId="338E31A8" w14:textId="77777777" w:rsidR="00E9483B" w:rsidRDefault="00E9483B" w:rsidP="002A7CB3">
      <w:pPr>
        <w:spacing w:after="120"/>
        <w:rPr>
          <w:rFonts w:asciiTheme="majorHAnsi" w:hAnsiTheme="majorHAnsi"/>
          <w:b/>
        </w:rPr>
      </w:pPr>
    </w:p>
    <w:p w14:paraId="7113B718" w14:textId="77777777" w:rsidR="00E9483B" w:rsidRDefault="00E9483B" w:rsidP="002A7CB3">
      <w:pPr>
        <w:spacing w:after="120"/>
        <w:rPr>
          <w:rFonts w:asciiTheme="majorHAnsi" w:hAnsiTheme="majorHAnsi"/>
          <w:b/>
        </w:rPr>
      </w:pPr>
    </w:p>
    <w:p w14:paraId="755D6F46" w14:textId="2EBA2CDF" w:rsidR="002A7CB3" w:rsidRDefault="002A7CB3" w:rsidP="002A7CB3">
      <w:pPr>
        <w:spacing w:after="120"/>
        <w:rPr>
          <w:rFonts w:asciiTheme="majorHAnsi" w:hAnsiTheme="majorHAnsi"/>
          <w:b/>
        </w:rPr>
      </w:pPr>
      <w:r>
        <w:rPr>
          <w:rFonts w:asciiTheme="majorHAnsi" w:hAnsiTheme="majorHAnsi"/>
          <w:b/>
        </w:rPr>
        <w:t>Asia</w:t>
      </w:r>
    </w:p>
    <w:tbl>
      <w:tblPr>
        <w:tblStyle w:val="TableGrid"/>
        <w:tblW w:w="0" w:type="auto"/>
        <w:tblLook w:val="04A0" w:firstRow="1" w:lastRow="0" w:firstColumn="1" w:lastColumn="0" w:noHBand="0" w:noVBand="1"/>
      </w:tblPr>
      <w:tblGrid>
        <w:gridCol w:w="1591"/>
        <w:gridCol w:w="1644"/>
        <w:gridCol w:w="1761"/>
        <w:gridCol w:w="2454"/>
        <w:gridCol w:w="2126"/>
      </w:tblGrid>
      <w:tr w:rsidR="00AB21EF" w:rsidRPr="00AB21EF" w14:paraId="0DC95F8B" w14:textId="77777777" w:rsidTr="000A2BD5">
        <w:trPr>
          <w:tblHeader/>
        </w:trPr>
        <w:tc>
          <w:tcPr>
            <w:tcW w:w="1591" w:type="dxa"/>
          </w:tcPr>
          <w:p w14:paraId="1C82B942"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Contact Name</w:t>
            </w:r>
          </w:p>
        </w:tc>
        <w:tc>
          <w:tcPr>
            <w:tcW w:w="1644" w:type="dxa"/>
          </w:tcPr>
          <w:p w14:paraId="5E09D0F2"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Title</w:t>
            </w:r>
          </w:p>
        </w:tc>
        <w:tc>
          <w:tcPr>
            <w:tcW w:w="1761" w:type="dxa"/>
          </w:tcPr>
          <w:p w14:paraId="39A1C80E"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Organization</w:t>
            </w:r>
          </w:p>
        </w:tc>
        <w:tc>
          <w:tcPr>
            <w:tcW w:w="2454" w:type="dxa"/>
          </w:tcPr>
          <w:p w14:paraId="0E848965"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Email</w:t>
            </w:r>
          </w:p>
        </w:tc>
        <w:tc>
          <w:tcPr>
            <w:tcW w:w="2126" w:type="dxa"/>
          </w:tcPr>
          <w:p w14:paraId="0D97A609"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Country/Countries</w:t>
            </w:r>
          </w:p>
        </w:tc>
      </w:tr>
      <w:tr w:rsidR="00AB21EF" w:rsidRPr="00AB21EF" w14:paraId="24B8680E" w14:textId="77777777" w:rsidTr="000A2BD5">
        <w:tc>
          <w:tcPr>
            <w:tcW w:w="1591" w:type="dxa"/>
          </w:tcPr>
          <w:p w14:paraId="01631AC9" w14:textId="1FAA255D" w:rsidR="002A7CB3" w:rsidRPr="00AB21EF" w:rsidRDefault="001B085C" w:rsidP="00391E17">
            <w:pPr>
              <w:rPr>
                <w:rFonts w:asciiTheme="majorHAnsi" w:hAnsiTheme="majorHAnsi"/>
                <w:sz w:val="22"/>
                <w:szCs w:val="22"/>
              </w:rPr>
            </w:pPr>
            <w:r w:rsidRPr="00AB21EF">
              <w:rPr>
                <w:rFonts w:asciiTheme="majorHAnsi" w:hAnsiTheme="majorHAnsi"/>
                <w:sz w:val="22"/>
                <w:szCs w:val="22"/>
              </w:rPr>
              <w:t>Sha</w:t>
            </w:r>
            <w:r w:rsidR="00AB0D1C" w:rsidRPr="00AB21EF">
              <w:rPr>
                <w:rFonts w:asciiTheme="majorHAnsi" w:hAnsiTheme="majorHAnsi"/>
                <w:sz w:val="22"/>
                <w:szCs w:val="22"/>
              </w:rPr>
              <w:t>ifuzah Ariffin</w:t>
            </w:r>
          </w:p>
        </w:tc>
        <w:tc>
          <w:tcPr>
            <w:tcW w:w="1644" w:type="dxa"/>
          </w:tcPr>
          <w:p w14:paraId="520748D7" w14:textId="2AAD9728" w:rsidR="002A7CB3" w:rsidRPr="00AB21EF" w:rsidRDefault="00986AD8" w:rsidP="00391E17">
            <w:pPr>
              <w:rPr>
                <w:rFonts w:asciiTheme="majorHAnsi" w:hAnsiTheme="majorHAnsi"/>
                <w:sz w:val="22"/>
                <w:szCs w:val="22"/>
              </w:rPr>
            </w:pPr>
            <w:r w:rsidRPr="00AB21EF">
              <w:rPr>
                <w:rFonts w:asciiTheme="majorHAnsi" w:hAnsiTheme="majorHAnsi"/>
                <w:sz w:val="22"/>
                <w:szCs w:val="22"/>
              </w:rPr>
              <w:t>Deputy Director</w:t>
            </w:r>
          </w:p>
        </w:tc>
        <w:tc>
          <w:tcPr>
            <w:tcW w:w="1761" w:type="dxa"/>
          </w:tcPr>
          <w:p w14:paraId="7C82464E" w14:textId="5D68341B" w:rsidR="002A7CB3" w:rsidRPr="00AB21EF" w:rsidRDefault="00AB0D1C" w:rsidP="00391E17">
            <w:pPr>
              <w:rPr>
                <w:rFonts w:asciiTheme="majorHAnsi" w:hAnsiTheme="majorHAnsi"/>
                <w:sz w:val="22"/>
                <w:szCs w:val="22"/>
              </w:rPr>
            </w:pPr>
            <w:r w:rsidRPr="00AB21EF">
              <w:rPr>
                <w:rFonts w:asciiTheme="majorHAnsi" w:hAnsiTheme="majorHAnsi"/>
                <w:sz w:val="22"/>
                <w:szCs w:val="22"/>
              </w:rPr>
              <w:t>MoH Malaysia</w:t>
            </w:r>
          </w:p>
        </w:tc>
        <w:tc>
          <w:tcPr>
            <w:tcW w:w="2454" w:type="dxa"/>
          </w:tcPr>
          <w:p w14:paraId="2CD020B6" w14:textId="3AEF6296" w:rsidR="002A7CB3" w:rsidRPr="00AB21EF" w:rsidRDefault="00AB0D1C" w:rsidP="00391E17">
            <w:pPr>
              <w:rPr>
                <w:rFonts w:asciiTheme="majorHAnsi" w:hAnsiTheme="majorHAnsi"/>
                <w:sz w:val="22"/>
                <w:szCs w:val="22"/>
              </w:rPr>
            </w:pPr>
            <w:r w:rsidRPr="00AB21EF">
              <w:rPr>
                <w:rFonts w:asciiTheme="majorHAnsi" w:hAnsiTheme="majorHAnsi" w:cs="Arial"/>
                <w:sz w:val="22"/>
                <w:szCs w:val="22"/>
                <w:shd w:val="clear" w:color="auto" w:fill="FFFFFF"/>
              </w:rPr>
              <w:t>shaifuzah@moh.gov.my</w:t>
            </w:r>
          </w:p>
        </w:tc>
        <w:tc>
          <w:tcPr>
            <w:tcW w:w="2126" w:type="dxa"/>
          </w:tcPr>
          <w:p w14:paraId="4783C20E" w14:textId="5333D5E1" w:rsidR="002A7CB3" w:rsidRPr="00AB21EF" w:rsidRDefault="00AB0D1C" w:rsidP="00391E17">
            <w:pPr>
              <w:rPr>
                <w:rFonts w:asciiTheme="majorHAnsi" w:hAnsiTheme="majorHAnsi"/>
                <w:sz w:val="22"/>
                <w:szCs w:val="22"/>
              </w:rPr>
            </w:pPr>
            <w:r w:rsidRPr="00AB21EF">
              <w:rPr>
                <w:rFonts w:asciiTheme="majorHAnsi" w:hAnsiTheme="majorHAnsi"/>
                <w:sz w:val="22"/>
                <w:szCs w:val="22"/>
              </w:rPr>
              <w:t>Malaysia, AeHIN</w:t>
            </w:r>
          </w:p>
        </w:tc>
      </w:tr>
      <w:tr w:rsidR="00AB21EF" w:rsidRPr="00AB21EF" w14:paraId="4D32716D" w14:textId="77777777" w:rsidTr="000A2BD5">
        <w:tc>
          <w:tcPr>
            <w:tcW w:w="1591" w:type="dxa"/>
          </w:tcPr>
          <w:p w14:paraId="517CBA2D" w14:textId="697961EA" w:rsidR="002A7CB3" w:rsidRPr="00AB21EF" w:rsidRDefault="00AC570A" w:rsidP="00391E17">
            <w:pPr>
              <w:rPr>
                <w:rFonts w:asciiTheme="majorHAnsi" w:hAnsiTheme="majorHAnsi"/>
                <w:sz w:val="22"/>
                <w:szCs w:val="22"/>
              </w:rPr>
            </w:pPr>
            <w:r w:rsidRPr="00AB21EF">
              <w:rPr>
                <w:rFonts w:asciiTheme="majorHAnsi" w:hAnsiTheme="majorHAnsi"/>
                <w:sz w:val="22"/>
                <w:szCs w:val="22"/>
              </w:rPr>
              <w:t>Harjinder Gill</w:t>
            </w:r>
          </w:p>
        </w:tc>
        <w:tc>
          <w:tcPr>
            <w:tcW w:w="1644" w:type="dxa"/>
          </w:tcPr>
          <w:p w14:paraId="38FF2910" w14:textId="6899AF32" w:rsidR="002A7CB3" w:rsidRPr="00AB21EF" w:rsidRDefault="00AC570A" w:rsidP="00391E17">
            <w:pPr>
              <w:rPr>
                <w:rFonts w:asciiTheme="majorHAnsi" w:hAnsiTheme="majorHAnsi"/>
                <w:sz w:val="22"/>
                <w:szCs w:val="22"/>
              </w:rPr>
            </w:pPr>
            <w:r w:rsidRPr="00AB21EF">
              <w:rPr>
                <w:rFonts w:asciiTheme="majorHAnsi" w:hAnsiTheme="majorHAnsi"/>
                <w:sz w:val="22"/>
                <w:szCs w:val="22"/>
              </w:rPr>
              <w:t>President and Owner</w:t>
            </w:r>
          </w:p>
        </w:tc>
        <w:tc>
          <w:tcPr>
            <w:tcW w:w="1761" w:type="dxa"/>
          </w:tcPr>
          <w:p w14:paraId="2FD7270D" w14:textId="70D8D249" w:rsidR="002A7CB3" w:rsidRPr="00AB21EF" w:rsidRDefault="00AC570A" w:rsidP="00391E17">
            <w:pPr>
              <w:rPr>
                <w:rFonts w:asciiTheme="majorHAnsi" w:hAnsiTheme="majorHAnsi"/>
                <w:sz w:val="22"/>
                <w:szCs w:val="22"/>
              </w:rPr>
            </w:pPr>
            <w:r w:rsidRPr="00AB21EF">
              <w:rPr>
                <w:rFonts w:asciiTheme="majorHAnsi" w:hAnsiTheme="majorHAnsi"/>
                <w:sz w:val="22"/>
                <w:szCs w:val="22"/>
              </w:rPr>
              <w:t>Indica Group</w:t>
            </w:r>
          </w:p>
        </w:tc>
        <w:tc>
          <w:tcPr>
            <w:tcW w:w="2454" w:type="dxa"/>
          </w:tcPr>
          <w:p w14:paraId="6C01E833" w14:textId="3E89BD9B" w:rsidR="002A7CB3" w:rsidRPr="00AB21EF" w:rsidRDefault="00AC570A" w:rsidP="00391E17">
            <w:pPr>
              <w:rPr>
                <w:rFonts w:asciiTheme="majorHAnsi" w:hAnsiTheme="majorHAnsi"/>
                <w:sz w:val="22"/>
                <w:szCs w:val="22"/>
              </w:rPr>
            </w:pPr>
            <w:r w:rsidRPr="00AB21EF">
              <w:rPr>
                <w:rFonts w:asciiTheme="majorHAnsi" w:hAnsiTheme="majorHAnsi" w:cs="Arial"/>
                <w:sz w:val="22"/>
                <w:szCs w:val="22"/>
                <w:shd w:val="clear" w:color="auto" w:fill="FFFFFF"/>
              </w:rPr>
              <w:t>hgill@entreon.com</w:t>
            </w:r>
          </w:p>
        </w:tc>
        <w:tc>
          <w:tcPr>
            <w:tcW w:w="2126" w:type="dxa"/>
          </w:tcPr>
          <w:p w14:paraId="2035DB80" w14:textId="70AE44FE" w:rsidR="002A7CB3" w:rsidRPr="00AB21EF" w:rsidRDefault="00AC570A" w:rsidP="00391E17">
            <w:pPr>
              <w:rPr>
                <w:rFonts w:asciiTheme="majorHAnsi" w:hAnsiTheme="majorHAnsi"/>
                <w:sz w:val="22"/>
                <w:szCs w:val="22"/>
              </w:rPr>
            </w:pPr>
            <w:r w:rsidRPr="00AB21EF">
              <w:rPr>
                <w:rFonts w:asciiTheme="majorHAnsi" w:hAnsiTheme="majorHAnsi"/>
                <w:sz w:val="22"/>
                <w:szCs w:val="22"/>
              </w:rPr>
              <w:t>India</w:t>
            </w:r>
          </w:p>
        </w:tc>
      </w:tr>
      <w:tr w:rsidR="00AB21EF" w:rsidRPr="00AB21EF" w14:paraId="7DE9B195" w14:textId="77777777" w:rsidTr="000A2BD5">
        <w:tc>
          <w:tcPr>
            <w:tcW w:w="1591" w:type="dxa"/>
          </w:tcPr>
          <w:p w14:paraId="233637B8" w14:textId="3A44CA28" w:rsidR="002A7CB3" w:rsidRPr="00AB21EF" w:rsidRDefault="003839FE" w:rsidP="00391E17">
            <w:pPr>
              <w:rPr>
                <w:rFonts w:asciiTheme="majorHAnsi" w:hAnsiTheme="majorHAnsi"/>
                <w:sz w:val="22"/>
                <w:szCs w:val="22"/>
              </w:rPr>
            </w:pPr>
            <w:r w:rsidRPr="00AB21EF">
              <w:rPr>
                <w:rFonts w:asciiTheme="majorHAnsi" w:hAnsiTheme="majorHAnsi"/>
                <w:sz w:val="22"/>
                <w:szCs w:val="22"/>
              </w:rPr>
              <w:t>Guardian Sanjaya</w:t>
            </w:r>
          </w:p>
        </w:tc>
        <w:tc>
          <w:tcPr>
            <w:tcW w:w="1644" w:type="dxa"/>
          </w:tcPr>
          <w:p w14:paraId="72044E81" w14:textId="7C0C29BC" w:rsidR="002A7CB3" w:rsidRPr="00AB21EF" w:rsidRDefault="003839FE" w:rsidP="00391E17">
            <w:pPr>
              <w:rPr>
                <w:rFonts w:asciiTheme="majorHAnsi" w:hAnsiTheme="majorHAnsi"/>
                <w:sz w:val="22"/>
                <w:szCs w:val="22"/>
              </w:rPr>
            </w:pPr>
            <w:r w:rsidRPr="00AB21EF">
              <w:rPr>
                <w:rFonts w:asciiTheme="majorHAnsi" w:hAnsiTheme="majorHAnsi"/>
                <w:sz w:val="22"/>
                <w:szCs w:val="22"/>
              </w:rPr>
              <w:t>Health Informatics Researcher</w:t>
            </w:r>
          </w:p>
        </w:tc>
        <w:tc>
          <w:tcPr>
            <w:tcW w:w="1761" w:type="dxa"/>
          </w:tcPr>
          <w:p w14:paraId="2A44A1B4" w14:textId="79A9FCE4" w:rsidR="002A7CB3" w:rsidRPr="00AB21EF" w:rsidRDefault="003839FE" w:rsidP="00391E17">
            <w:pPr>
              <w:rPr>
                <w:rFonts w:asciiTheme="majorHAnsi" w:hAnsiTheme="majorHAnsi"/>
                <w:sz w:val="22"/>
                <w:szCs w:val="22"/>
              </w:rPr>
            </w:pPr>
            <w:r w:rsidRPr="00AB21EF">
              <w:rPr>
                <w:rFonts w:asciiTheme="majorHAnsi" w:hAnsiTheme="majorHAnsi"/>
                <w:sz w:val="22"/>
                <w:szCs w:val="22"/>
              </w:rPr>
              <w:t>Faculty of Medicine, Universitas Gadjah Mada</w:t>
            </w:r>
          </w:p>
        </w:tc>
        <w:tc>
          <w:tcPr>
            <w:tcW w:w="2454" w:type="dxa"/>
          </w:tcPr>
          <w:p w14:paraId="25FC2D04" w14:textId="3DA0BDBB" w:rsidR="002A7CB3" w:rsidRPr="00AB21EF" w:rsidRDefault="003839FE" w:rsidP="00391E17">
            <w:pPr>
              <w:rPr>
                <w:rFonts w:asciiTheme="majorHAnsi" w:hAnsiTheme="majorHAnsi"/>
                <w:sz w:val="22"/>
                <w:szCs w:val="22"/>
              </w:rPr>
            </w:pPr>
            <w:r w:rsidRPr="00AB21EF">
              <w:rPr>
                <w:rFonts w:asciiTheme="majorHAnsi" w:hAnsiTheme="majorHAnsi" w:cs="Arial"/>
                <w:sz w:val="22"/>
                <w:szCs w:val="22"/>
              </w:rPr>
              <w:t>gysanjaya@ugm.ac.id</w:t>
            </w:r>
          </w:p>
        </w:tc>
        <w:tc>
          <w:tcPr>
            <w:tcW w:w="2126" w:type="dxa"/>
          </w:tcPr>
          <w:p w14:paraId="5657B5E3" w14:textId="5A9B845A" w:rsidR="002A7CB3" w:rsidRPr="00AB21EF" w:rsidRDefault="003839FE" w:rsidP="00391E17">
            <w:pPr>
              <w:rPr>
                <w:rFonts w:asciiTheme="majorHAnsi" w:hAnsiTheme="majorHAnsi"/>
                <w:sz w:val="22"/>
                <w:szCs w:val="22"/>
              </w:rPr>
            </w:pPr>
            <w:r w:rsidRPr="00AB21EF">
              <w:rPr>
                <w:rFonts w:asciiTheme="majorHAnsi" w:hAnsiTheme="majorHAnsi"/>
                <w:sz w:val="22"/>
                <w:szCs w:val="22"/>
              </w:rPr>
              <w:t>Indonesia, AeHIN</w:t>
            </w:r>
          </w:p>
        </w:tc>
      </w:tr>
    </w:tbl>
    <w:p w14:paraId="0D57A5D8" w14:textId="77777777" w:rsidR="002A7CB3" w:rsidRDefault="002A7CB3" w:rsidP="002A7CB3">
      <w:pPr>
        <w:spacing w:after="120"/>
        <w:rPr>
          <w:rFonts w:asciiTheme="majorHAnsi" w:hAnsiTheme="majorHAnsi"/>
          <w:b/>
        </w:rPr>
      </w:pPr>
    </w:p>
    <w:p w14:paraId="0A9EE8C7" w14:textId="04990530" w:rsidR="002A7CB3" w:rsidRDefault="002A7CB3" w:rsidP="002A7CB3">
      <w:pPr>
        <w:spacing w:after="120"/>
        <w:rPr>
          <w:rFonts w:asciiTheme="majorHAnsi" w:hAnsiTheme="majorHAnsi"/>
          <w:b/>
        </w:rPr>
      </w:pPr>
      <w:r>
        <w:rPr>
          <w:rFonts w:asciiTheme="majorHAnsi" w:hAnsiTheme="majorHAnsi"/>
          <w:b/>
        </w:rPr>
        <w:t>Central America and Caribbean</w:t>
      </w:r>
    </w:p>
    <w:tbl>
      <w:tblPr>
        <w:tblStyle w:val="TableGrid"/>
        <w:tblW w:w="0" w:type="auto"/>
        <w:tblLook w:val="04A0" w:firstRow="1" w:lastRow="0" w:firstColumn="1" w:lastColumn="0" w:noHBand="0" w:noVBand="1"/>
      </w:tblPr>
      <w:tblGrid>
        <w:gridCol w:w="1677"/>
        <w:gridCol w:w="1731"/>
        <w:gridCol w:w="1818"/>
        <w:gridCol w:w="2224"/>
        <w:gridCol w:w="2126"/>
      </w:tblGrid>
      <w:tr w:rsidR="002A7CB3" w:rsidRPr="00424867" w14:paraId="25BB83A1" w14:textId="77777777" w:rsidTr="00A43C11">
        <w:trPr>
          <w:tblHeader/>
        </w:trPr>
        <w:tc>
          <w:tcPr>
            <w:tcW w:w="1861" w:type="dxa"/>
          </w:tcPr>
          <w:p w14:paraId="0D54C66E" w14:textId="77777777" w:rsidR="002A7CB3" w:rsidRPr="00424867" w:rsidRDefault="002A7CB3" w:rsidP="00391E17">
            <w:pPr>
              <w:jc w:val="center"/>
              <w:rPr>
                <w:rFonts w:asciiTheme="majorHAnsi" w:hAnsiTheme="majorHAnsi"/>
                <w:b/>
                <w:sz w:val="22"/>
                <w:szCs w:val="22"/>
              </w:rPr>
            </w:pPr>
            <w:r w:rsidRPr="00424867">
              <w:rPr>
                <w:rFonts w:asciiTheme="majorHAnsi" w:hAnsiTheme="majorHAnsi"/>
                <w:b/>
                <w:sz w:val="22"/>
                <w:szCs w:val="22"/>
              </w:rPr>
              <w:t>Contact Name</w:t>
            </w:r>
          </w:p>
        </w:tc>
        <w:tc>
          <w:tcPr>
            <w:tcW w:w="1845" w:type="dxa"/>
          </w:tcPr>
          <w:p w14:paraId="084D1CEA" w14:textId="77777777" w:rsidR="002A7CB3" w:rsidRPr="00424867" w:rsidRDefault="002A7CB3" w:rsidP="00391E17">
            <w:pPr>
              <w:jc w:val="center"/>
              <w:rPr>
                <w:rFonts w:asciiTheme="majorHAnsi" w:hAnsiTheme="majorHAnsi"/>
                <w:b/>
                <w:sz w:val="22"/>
                <w:szCs w:val="22"/>
              </w:rPr>
            </w:pPr>
            <w:r w:rsidRPr="00424867">
              <w:rPr>
                <w:rFonts w:asciiTheme="majorHAnsi" w:hAnsiTheme="majorHAnsi"/>
                <w:b/>
                <w:sz w:val="22"/>
                <w:szCs w:val="22"/>
              </w:rPr>
              <w:t>Title</w:t>
            </w:r>
          </w:p>
        </w:tc>
        <w:tc>
          <w:tcPr>
            <w:tcW w:w="1893" w:type="dxa"/>
          </w:tcPr>
          <w:p w14:paraId="115B0445" w14:textId="77777777" w:rsidR="002A7CB3" w:rsidRPr="00424867" w:rsidRDefault="002A7CB3" w:rsidP="00391E17">
            <w:pPr>
              <w:jc w:val="center"/>
              <w:rPr>
                <w:rFonts w:asciiTheme="majorHAnsi" w:hAnsiTheme="majorHAnsi"/>
                <w:b/>
                <w:sz w:val="22"/>
                <w:szCs w:val="22"/>
              </w:rPr>
            </w:pPr>
            <w:r w:rsidRPr="00424867">
              <w:rPr>
                <w:rFonts w:asciiTheme="majorHAnsi" w:hAnsiTheme="majorHAnsi"/>
                <w:b/>
                <w:sz w:val="22"/>
                <w:szCs w:val="22"/>
              </w:rPr>
              <w:t>Organization</w:t>
            </w:r>
          </w:p>
        </w:tc>
        <w:tc>
          <w:tcPr>
            <w:tcW w:w="1851" w:type="dxa"/>
          </w:tcPr>
          <w:p w14:paraId="6BBF7493" w14:textId="77777777" w:rsidR="002A7CB3" w:rsidRPr="00424867" w:rsidRDefault="002A7CB3" w:rsidP="00391E17">
            <w:pPr>
              <w:jc w:val="center"/>
              <w:rPr>
                <w:rFonts w:asciiTheme="majorHAnsi" w:hAnsiTheme="majorHAnsi"/>
                <w:b/>
                <w:sz w:val="22"/>
                <w:szCs w:val="22"/>
              </w:rPr>
            </w:pPr>
            <w:r w:rsidRPr="00424867">
              <w:rPr>
                <w:rFonts w:asciiTheme="majorHAnsi" w:hAnsiTheme="majorHAnsi"/>
                <w:b/>
                <w:sz w:val="22"/>
                <w:szCs w:val="22"/>
              </w:rPr>
              <w:t>Email</w:t>
            </w:r>
          </w:p>
        </w:tc>
        <w:tc>
          <w:tcPr>
            <w:tcW w:w="2126" w:type="dxa"/>
          </w:tcPr>
          <w:p w14:paraId="2AE81D5F" w14:textId="77777777" w:rsidR="002A7CB3" w:rsidRPr="00424867" w:rsidRDefault="002A7CB3" w:rsidP="00391E17">
            <w:pPr>
              <w:jc w:val="center"/>
              <w:rPr>
                <w:rFonts w:asciiTheme="majorHAnsi" w:hAnsiTheme="majorHAnsi"/>
                <w:b/>
                <w:sz w:val="22"/>
                <w:szCs w:val="22"/>
              </w:rPr>
            </w:pPr>
            <w:r w:rsidRPr="00424867">
              <w:rPr>
                <w:rFonts w:asciiTheme="majorHAnsi" w:hAnsiTheme="majorHAnsi"/>
                <w:b/>
                <w:sz w:val="22"/>
                <w:szCs w:val="22"/>
              </w:rPr>
              <w:t>Country/Countries</w:t>
            </w:r>
          </w:p>
        </w:tc>
      </w:tr>
      <w:tr w:rsidR="002A7CB3" w:rsidRPr="001B085C" w14:paraId="6A65DEC1" w14:textId="77777777" w:rsidTr="002A7CB3">
        <w:tc>
          <w:tcPr>
            <w:tcW w:w="1861" w:type="dxa"/>
          </w:tcPr>
          <w:p w14:paraId="25B58138" w14:textId="0A747E9D" w:rsidR="002A7CB3" w:rsidRPr="001B085C" w:rsidRDefault="00777A59" w:rsidP="00391E17">
            <w:pPr>
              <w:rPr>
                <w:rFonts w:asciiTheme="majorHAnsi" w:hAnsiTheme="majorHAnsi"/>
                <w:sz w:val="22"/>
                <w:szCs w:val="22"/>
              </w:rPr>
            </w:pPr>
            <w:r>
              <w:rPr>
                <w:rFonts w:asciiTheme="majorHAnsi" w:hAnsiTheme="majorHAnsi"/>
                <w:sz w:val="22"/>
                <w:szCs w:val="22"/>
              </w:rPr>
              <w:t>Michele Roofe</w:t>
            </w:r>
          </w:p>
        </w:tc>
        <w:tc>
          <w:tcPr>
            <w:tcW w:w="1845" w:type="dxa"/>
          </w:tcPr>
          <w:p w14:paraId="3F2B10FE" w14:textId="77B5DBF3" w:rsidR="002A7CB3" w:rsidRPr="001B085C" w:rsidRDefault="00777A59" w:rsidP="00391E17">
            <w:pPr>
              <w:rPr>
                <w:rFonts w:asciiTheme="majorHAnsi" w:hAnsiTheme="majorHAnsi"/>
                <w:sz w:val="22"/>
                <w:szCs w:val="22"/>
              </w:rPr>
            </w:pPr>
            <w:r>
              <w:rPr>
                <w:rFonts w:asciiTheme="majorHAnsi" w:hAnsiTheme="majorHAnsi"/>
                <w:sz w:val="22"/>
                <w:szCs w:val="22"/>
              </w:rPr>
              <w:t>Senior Medical Officer (Health) – Health Informatics</w:t>
            </w:r>
          </w:p>
        </w:tc>
        <w:tc>
          <w:tcPr>
            <w:tcW w:w="1893" w:type="dxa"/>
          </w:tcPr>
          <w:p w14:paraId="7237BD55" w14:textId="75330E30" w:rsidR="002A7CB3" w:rsidRPr="001B085C" w:rsidRDefault="00D47B42" w:rsidP="00391E17">
            <w:pPr>
              <w:rPr>
                <w:rFonts w:asciiTheme="majorHAnsi" w:hAnsiTheme="majorHAnsi"/>
                <w:sz w:val="22"/>
                <w:szCs w:val="22"/>
              </w:rPr>
            </w:pPr>
            <w:r>
              <w:rPr>
                <w:rFonts w:asciiTheme="majorHAnsi" w:hAnsiTheme="majorHAnsi"/>
                <w:sz w:val="22"/>
                <w:szCs w:val="22"/>
              </w:rPr>
              <w:t>Ministry of Health, Jamaica</w:t>
            </w:r>
          </w:p>
        </w:tc>
        <w:tc>
          <w:tcPr>
            <w:tcW w:w="1851" w:type="dxa"/>
          </w:tcPr>
          <w:p w14:paraId="5F6756A5" w14:textId="50147E6E" w:rsidR="002A7CB3" w:rsidRPr="00D47B42" w:rsidRDefault="00D47B42" w:rsidP="00391E17">
            <w:pPr>
              <w:rPr>
                <w:rFonts w:asciiTheme="majorHAnsi" w:hAnsiTheme="majorHAnsi"/>
                <w:sz w:val="22"/>
                <w:szCs w:val="22"/>
              </w:rPr>
            </w:pPr>
            <w:r w:rsidRPr="00D47B42">
              <w:rPr>
                <w:rFonts w:asciiTheme="majorHAnsi" w:hAnsiTheme="majorHAnsi" w:cs="Arial"/>
                <w:color w:val="000000"/>
                <w:sz w:val="22"/>
                <w:szCs w:val="22"/>
              </w:rPr>
              <w:t>RoofeM@moh.gov.jm</w:t>
            </w:r>
          </w:p>
        </w:tc>
        <w:tc>
          <w:tcPr>
            <w:tcW w:w="2126" w:type="dxa"/>
          </w:tcPr>
          <w:p w14:paraId="1A73E005" w14:textId="3D4313DC" w:rsidR="002A7CB3" w:rsidRPr="001B085C" w:rsidRDefault="00D47B42" w:rsidP="00391E17">
            <w:pPr>
              <w:rPr>
                <w:rFonts w:asciiTheme="majorHAnsi" w:hAnsiTheme="majorHAnsi"/>
                <w:sz w:val="22"/>
                <w:szCs w:val="22"/>
              </w:rPr>
            </w:pPr>
            <w:r>
              <w:rPr>
                <w:rFonts w:asciiTheme="majorHAnsi" w:hAnsiTheme="majorHAnsi"/>
                <w:sz w:val="22"/>
                <w:szCs w:val="22"/>
              </w:rPr>
              <w:t>Jamaica</w:t>
            </w:r>
          </w:p>
        </w:tc>
      </w:tr>
    </w:tbl>
    <w:p w14:paraId="5F4DDAA0" w14:textId="77777777" w:rsidR="001D671C" w:rsidRDefault="001D671C" w:rsidP="002A7CB3">
      <w:pPr>
        <w:spacing w:after="120"/>
        <w:rPr>
          <w:rFonts w:asciiTheme="majorHAnsi" w:hAnsiTheme="majorHAnsi"/>
          <w:b/>
        </w:rPr>
      </w:pPr>
    </w:p>
    <w:p w14:paraId="35D6F5B8" w14:textId="64E86FFF" w:rsidR="002A7CB3" w:rsidRDefault="002A7CB3" w:rsidP="002A7CB3">
      <w:pPr>
        <w:spacing w:after="120"/>
        <w:rPr>
          <w:rFonts w:asciiTheme="majorHAnsi" w:hAnsiTheme="majorHAnsi"/>
          <w:b/>
        </w:rPr>
      </w:pPr>
      <w:r>
        <w:rPr>
          <w:rFonts w:asciiTheme="majorHAnsi" w:hAnsiTheme="majorHAnsi"/>
          <w:b/>
        </w:rPr>
        <w:t>South America</w:t>
      </w:r>
    </w:p>
    <w:tbl>
      <w:tblPr>
        <w:tblStyle w:val="TableGrid"/>
        <w:tblW w:w="0" w:type="auto"/>
        <w:tblLook w:val="04A0" w:firstRow="1" w:lastRow="0" w:firstColumn="1" w:lastColumn="0" w:noHBand="0" w:noVBand="1"/>
      </w:tblPr>
      <w:tblGrid>
        <w:gridCol w:w="1488"/>
        <w:gridCol w:w="1538"/>
        <w:gridCol w:w="1742"/>
        <w:gridCol w:w="2682"/>
        <w:gridCol w:w="2126"/>
      </w:tblGrid>
      <w:tr w:rsidR="00AB21EF" w:rsidRPr="00AB21EF" w14:paraId="5D2646B0" w14:textId="77777777" w:rsidTr="000A168D">
        <w:trPr>
          <w:tblHeader/>
        </w:trPr>
        <w:tc>
          <w:tcPr>
            <w:tcW w:w="1488" w:type="dxa"/>
          </w:tcPr>
          <w:p w14:paraId="129D745B"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Contact Name</w:t>
            </w:r>
          </w:p>
        </w:tc>
        <w:tc>
          <w:tcPr>
            <w:tcW w:w="1538" w:type="dxa"/>
          </w:tcPr>
          <w:p w14:paraId="3D8578BD"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Title</w:t>
            </w:r>
          </w:p>
        </w:tc>
        <w:tc>
          <w:tcPr>
            <w:tcW w:w="1742" w:type="dxa"/>
          </w:tcPr>
          <w:p w14:paraId="4475AE8C"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Organization</w:t>
            </w:r>
          </w:p>
        </w:tc>
        <w:tc>
          <w:tcPr>
            <w:tcW w:w="2682" w:type="dxa"/>
          </w:tcPr>
          <w:p w14:paraId="71B5FA10"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Email</w:t>
            </w:r>
          </w:p>
        </w:tc>
        <w:tc>
          <w:tcPr>
            <w:tcW w:w="2126" w:type="dxa"/>
          </w:tcPr>
          <w:p w14:paraId="6D472368"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Country/Countries</w:t>
            </w:r>
          </w:p>
        </w:tc>
      </w:tr>
      <w:tr w:rsidR="00AB21EF" w:rsidRPr="00AB21EF" w14:paraId="05E6ECAE" w14:textId="77777777" w:rsidTr="000A168D">
        <w:tc>
          <w:tcPr>
            <w:tcW w:w="1488" w:type="dxa"/>
          </w:tcPr>
          <w:p w14:paraId="2072BC29" w14:textId="0E239444" w:rsidR="002A7CB3" w:rsidRPr="00AB21EF" w:rsidRDefault="00A70B16" w:rsidP="00391E17">
            <w:pPr>
              <w:rPr>
                <w:rFonts w:asciiTheme="majorHAnsi" w:hAnsiTheme="majorHAnsi"/>
                <w:sz w:val="22"/>
                <w:szCs w:val="22"/>
              </w:rPr>
            </w:pPr>
            <w:r w:rsidRPr="00AB21EF">
              <w:rPr>
                <w:rFonts w:asciiTheme="majorHAnsi" w:hAnsiTheme="majorHAnsi"/>
                <w:sz w:val="22"/>
                <w:szCs w:val="22"/>
              </w:rPr>
              <w:t>Walter Curioso</w:t>
            </w:r>
          </w:p>
        </w:tc>
        <w:tc>
          <w:tcPr>
            <w:tcW w:w="1538" w:type="dxa"/>
          </w:tcPr>
          <w:p w14:paraId="6CA92BC9" w14:textId="05FBBF56" w:rsidR="002A7CB3" w:rsidRPr="00AB21EF" w:rsidRDefault="00A70B16" w:rsidP="00391E17">
            <w:pPr>
              <w:rPr>
                <w:rFonts w:asciiTheme="majorHAnsi" w:hAnsiTheme="majorHAnsi"/>
                <w:sz w:val="22"/>
                <w:szCs w:val="22"/>
              </w:rPr>
            </w:pPr>
            <w:r w:rsidRPr="00AB21EF">
              <w:rPr>
                <w:rFonts w:asciiTheme="majorHAnsi" w:hAnsiTheme="majorHAnsi"/>
                <w:sz w:val="22"/>
                <w:szCs w:val="22"/>
              </w:rPr>
              <w:t>Affiliate Assistant Professor</w:t>
            </w:r>
          </w:p>
        </w:tc>
        <w:tc>
          <w:tcPr>
            <w:tcW w:w="1742" w:type="dxa"/>
          </w:tcPr>
          <w:p w14:paraId="3101B562" w14:textId="25E7F66C" w:rsidR="002A7CB3" w:rsidRPr="00AB21EF" w:rsidRDefault="00A70B16" w:rsidP="00391E17">
            <w:pPr>
              <w:rPr>
                <w:rFonts w:asciiTheme="majorHAnsi" w:hAnsiTheme="majorHAnsi"/>
                <w:sz w:val="22"/>
                <w:szCs w:val="22"/>
              </w:rPr>
            </w:pPr>
            <w:r w:rsidRPr="00AB21EF">
              <w:rPr>
                <w:rFonts w:asciiTheme="majorHAnsi" w:hAnsiTheme="majorHAnsi"/>
                <w:sz w:val="22"/>
                <w:szCs w:val="22"/>
              </w:rPr>
              <w:t>Department of Biomedical Informatics and Medical Education, School of Medicine at the University of Washington</w:t>
            </w:r>
          </w:p>
        </w:tc>
        <w:tc>
          <w:tcPr>
            <w:tcW w:w="2682" w:type="dxa"/>
          </w:tcPr>
          <w:p w14:paraId="299831B7" w14:textId="7955B8E1" w:rsidR="002A7CB3" w:rsidRPr="00AB21EF" w:rsidRDefault="00A70B16" w:rsidP="00391E17">
            <w:pPr>
              <w:rPr>
                <w:rFonts w:asciiTheme="majorHAnsi" w:hAnsiTheme="majorHAnsi"/>
                <w:sz w:val="22"/>
                <w:szCs w:val="22"/>
              </w:rPr>
            </w:pPr>
            <w:r w:rsidRPr="00AB21EF">
              <w:rPr>
                <w:rFonts w:asciiTheme="majorHAnsi" w:hAnsiTheme="majorHAnsi" w:cs="Arial"/>
                <w:sz w:val="22"/>
                <w:szCs w:val="22"/>
                <w:shd w:val="clear" w:color="auto" w:fill="FFFFFF"/>
              </w:rPr>
              <w:t>waltercurioso@gmail.com</w:t>
            </w:r>
          </w:p>
        </w:tc>
        <w:tc>
          <w:tcPr>
            <w:tcW w:w="2126" w:type="dxa"/>
          </w:tcPr>
          <w:p w14:paraId="4EB80D66" w14:textId="0E48A2F8" w:rsidR="002A7CB3" w:rsidRPr="00AB21EF" w:rsidRDefault="009F7CCD" w:rsidP="00515373">
            <w:pPr>
              <w:rPr>
                <w:rFonts w:asciiTheme="majorHAnsi" w:hAnsiTheme="majorHAnsi"/>
                <w:sz w:val="22"/>
                <w:szCs w:val="22"/>
              </w:rPr>
            </w:pPr>
            <w:r>
              <w:rPr>
                <w:rFonts w:asciiTheme="majorHAnsi" w:hAnsiTheme="majorHAnsi"/>
                <w:sz w:val="22"/>
                <w:szCs w:val="22"/>
              </w:rPr>
              <w:t>Peru</w:t>
            </w:r>
          </w:p>
        </w:tc>
      </w:tr>
    </w:tbl>
    <w:p w14:paraId="17D793B6" w14:textId="77777777" w:rsidR="002A7CB3" w:rsidRDefault="002A7CB3" w:rsidP="002A7CB3">
      <w:pPr>
        <w:spacing w:after="120"/>
        <w:rPr>
          <w:rFonts w:asciiTheme="majorHAnsi" w:hAnsiTheme="majorHAnsi"/>
          <w:b/>
        </w:rPr>
      </w:pPr>
    </w:p>
    <w:p w14:paraId="3455828B" w14:textId="7A54DC2C" w:rsidR="002A7CB3" w:rsidRDefault="002A7CB3" w:rsidP="002A7CB3">
      <w:pPr>
        <w:spacing w:after="120"/>
        <w:rPr>
          <w:rFonts w:asciiTheme="majorHAnsi" w:hAnsiTheme="majorHAnsi"/>
          <w:b/>
        </w:rPr>
      </w:pPr>
      <w:r>
        <w:rPr>
          <w:rFonts w:asciiTheme="majorHAnsi" w:hAnsiTheme="majorHAnsi"/>
          <w:b/>
        </w:rPr>
        <w:t>Multiple Regions</w:t>
      </w:r>
    </w:p>
    <w:tbl>
      <w:tblPr>
        <w:tblStyle w:val="TableGrid"/>
        <w:tblW w:w="0" w:type="auto"/>
        <w:tblLook w:val="04A0" w:firstRow="1" w:lastRow="0" w:firstColumn="1" w:lastColumn="0" w:noHBand="0" w:noVBand="1"/>
      </w:tblPr>
      <w:tblGrid>
        <w:gridCol w:w="1121"/>
        <w:gridCol w:w="1447"/>
        <w:gridCol w:w="1526"/>
        <w:gridCol w:w="3370"/>
        <w:gridCol w:w="2112"/>
      </w:tblGrid>
      <w:tr w:rsidR="008F4935" w:rsidRPr="008F4935" w14:paraId="708DACA8" w14:textId="77777777" w:rsidTr="00AB21EF">
        <w:trPr>
          <w:tblHeader/>
        </w:trPr>
        <w:tc>
          <w:tcPr>
            <w:tcW w:w="1419" w:type="dxa"/>
          </w:tcPr>
          <w:p w14:paraId="4F7DD2AE" w14:textId="77777777" w:rsidR="002A7CB3" w:rsidRPr="008F4935" w:rsidRDefault="002A7CB3" w:rsidP="00391E17">
            <w:pPr>
              <w:jc w:val="center"/>
              <w:rPr>
                <w:rFonts w:asciiTheme="majorHAnsi" w:hAnsiTheme="majorHAnsi"/>
                <w:b/>
                <w:sz w:val="22"/>
                <w:szCs w:val="22"/>
              </w:rPr>
            </w:pPr>
            <w:r w:rsidRPr="008F4935">
              <w:rPr>
                <w:rFonts w:asciiTheme="majorHAnsi" w:hAnsiTheme="majorHAnsi"/>
                <w:b/>
                <w:sz w:val="22"/>
                <w:szCs w:val="22"/>
              </w:rPr>
              <w:t>Contact Name</w:t>
            </w:r>
          </w:p>
        </w:tc>
        <w:tc>
          <w:tcPr>
            <w:tcW w:w="1642" w:type="dxa"/>
          </w:tcPr>
          <w:p w14:paraId="2908424A" w14:textId="77777777" w:rsidR="002A7CB3" w:rsidRPr="008F4935" w:rsidRDefault="002A7CB3" w:rsidP="00391E17">
            <w:pPr>
              <w:jc w:val="center"/>
              <w:rPr>
                <w:rFonts w:asciiTheme="majorHAnsi" w:hAnsiTheme="majorHAnsi"/>
                <w:b/>
                <w:sz w:val="22"/>
                <w:szCs w:val="22"/>
              </w:rPr>
            </w:pPr>
            <w:r w:rsidRPr="008F4935">
              <w:rPr>
                <w:rFonts w:asciiTheme="majorHAnsi" w:hAnsiTheme="majorHAnsi"/>
                <w:b/>
                <w:sz w:val="22"/>
                <w:szCs w:val="22"/>
              </w:rPr>
              <w:t>Title</w:t>
            </w:r>
          </w:p>
        </w:tc>
        <w:tc>
          <w:tcPr>
            <w:tcW w:w="1707" w:type="dxa"/>
          </w:tcPr>
          <w:p w14:paraId="3CE3EBFF" w14:textId="77777777" w:rsidR="002A7CB3" w:rsidRPr="008F4935" w:rsidRDefault="002A7CB3" w:rsidP="00391E17">
            <w:pPr>
              <w:jc w:val="center"/>
              <w:rPr>
                <w:rFonts w:asciiTheme="majorHAnsi" w:hAnsiTheme="majorHAnsi"/>
                <w:b/>
                <w:sz w:val="22"/>
                <w:szCs w:val="22"/>
              </w:rPr>
            </w:pPr>
            <w:r w:rsidRPr="008F4935">
              <w:rPr>
                <w:rFonts w:asciiTheme="majorHAnsi" w:hAnsiTheme="majorHAnsi"/>
                <w:b/>
                <w:sz w:val="22"/>
                <w:szCs w:val="22"/>
              </w:rPr>
              <w:t>Organization</w:t>
            </w:r>
          </w:p>
        </w:tc>
        <w:tc>
          <w:tcPr>
            <w:tcW w:w="2682" w:type="dxa"/>
          </w:tcPr>
          <w:p w14:paraId="0EE16AAF" w14:textId="77777777" w:rsidR="002A7CB3" w:rsidRPr="008F4935" w:rsidRDefault="002A7CB3" w:rsidP="00391E17">
            <w:pPr>
              <w:jc w:val="center"/>
              <w:rPr>
                <w:rFonts w:asciiTheme="majorHAnsi" w:hAnsiTheme="majorHAnsi"/>
                <w:b/>
                <w:sz w:val="22"/>
                <w:szCs w:val="22"/>
              </w:rPr>
            </w:pPr>
            <w:r w:rsidRPr="008F4935">
              <w:rPr>
                <w:rFonts w:asciiTheme="majorHAnsi" w:hAnsiTheme="majorHAnsi"/>
                <w:b/>
                <w:sz w:val="22"/>
                <w:szCs w:val="22"/>
              </w:rPr>
              <w:t>Email</w:t>
            </w:r>
          </w:p>
        </w:tc>
        <w:tc>
          <w:tcPr>
            <w:tcW w:w="2126" w:type="dxa"/>
          </w:tcPr>
          <w:p w14:paraId="78C67544" w14:textId="77777777" w:rsidR="002A7CB3" w:rsidRPr="008F4935" w:rsidRDefault="002A7CB3" w:rsidP="00391E17">
            <w:pPr>
              <w:jc w:val="center"/>
              <w:rPr>
                <w:rFonts w:asciiTheme="majorHAnsi" w:hAnsiTheme="majorHAnsi"/>
                <w:b/>
                <w:sz w:val="22"/>
                <w:szCs w:val="22"/>
              </w:rPr>
            </w:pPr>
            <w:r w:rsidRPr="008F4935">
              <w:rPr>
                <w:rFonts w:asciiTheme="majorHAnsi" w:hAnsiTheme="majorHAnsi"/>
                <w:b/>
                <w:sz w:val="22"/>
                <w:szCs w:val="22"/>
              </w:rPr>
              <w:t>Country/Countries</w:t>
            </w:r>
          </w:p>
        </w:tc>
      </w:tr>
      <w:tr w:rsidR="008F4935" w:rsidRPr="008F4935" w14:paraId="3F18775E" w14:textId="77777777" w:rsidTr="00AB21EF">
        <w:tc>
          <w:tcPr>
            <w:tcW w:w="1419" w:type="dxa"/>
          </w:tcPr>
          <w:p w14:paraId="0625AC16" w14:textId="0E06F500" w:rsidR="002A7CB3" w:rsidRPr="008F4935" w:rsidRDefault="00986AD8" w:rsidP="00391E17">
            <w:pPr>
              <w:rPr>
                <w:rFonts w:asciiTheme="majorHAnsi" w:hAnsiTheme="majorHAnsi"/>
                <w:sz w:val="22"/>
                <w:szCs w:val="22"/>
              </w:rPr>
            </w:pPr>
            <w:r w:rsidRPr="008F4935">
              <w:rPr>
                <w:rFonts w:asciiTheme="majorHAnsi" w:hAnsiTheme="majorHAnsi"/>
                <w:sz w:val="22"/>
                <w:szCs w:val="22"/>
              </w:rPr>
              <w:t>David Aylward</w:t>
            </w:r>
          </w:p>
        </w:tc>
        <w:tc>
          <w:tcPr>
            <w:tcW w:w="1642" w:type="dxa"/>
          </w:tcPr>
          <w:p w14:paraId="6E476FA0" w14:textId="4B70D530" w:rsidR="002A7CB3" w:rsidRPr="008F4935" w:rsidRDefault="00986AD8" w:rsidP="00986AD8">
            <w:pPr>
              <w:rPr>
                <w:rFonts w:asciiTheme="majorHAnsi" w:hAnsiTheme="majorHAnsi"/>
                <w:sz w:val="22"/>
                <w:szCs w:val="22"/>
              </w:rPr>
            </w:pPr>
            <w:r w:rsidRPr="008F4935">
              <w:rPr>
                <w:rFonts w:asciiTheme="majorHAnsi" w:hAnsiTheme="majorHAnsi"/>
                <w:sz w:val="22"/>
                <w:szCs w:val="22"/>
              </w:rPr>
              <w:t>Executive Strategist; Senior Advisor; Senior Advisor</w:t>
            </w:r>
          </w:p>
        </w:tc>
        <w:tc>
          <w:tcPr>
            <w:tcW w:w="1707" w:type="dxa"/>
          </w:tcPr>
          <w:p w14:paraId="459250B3" w14:textId="34B20043" w:rsidR="002A7CB3" w:rsidRPr="008F4935" w:rsidRDefault="00986AD8" w:rsidP="00986AD8">
            <w:pPr>
              <w:rPr>
                <w:rFonts w:asciiTheme="majorHAnsi" w:hAnsiTheme="majorHAnsi"/>
                <w:sz w:val="22"/>
                <w:szCs w:val="22"/>
              </w:rPr>
            </w:pPr>
            <w:r w:rsidRPr="008F4935">
              <w:rPr>
                <w:rFonts w:asciiTheme="majorHAnsi" w:hAnsiTheme="majorHAnsi"/>
                <w:sz w:val="22"/>
                <w:szCs w:val="22"/>
              </w:rPr>
              <w:t>iThrive Initiative; Health for All, Ashoka; Community Health Center, Inc.</w:t>
            </w:r>
          </w:p>
        </w:tc>
        <w:tc>
          <w:tcPr>
            <w:tcW w:w="2682" w:type="dxa"/>
          </w:tcPr>
          <w:p w14:paraId="192EBB5F" w14:textId="28185667" w:rsidR="002A7CB3" w:rsidRPr="008F4935" w:rsidRDefault="00986AD8" w:rsidP="00391E17">
            <w:pPr>
              <w:rPr>
                <w:rFonts w:asciiTheme="majorHAnsi" w:hAnsiTheme="majorHAnsi"/>
                <w:sz w:val="22"/>
                <w:szCs w:val="22"/>
              </w:rPr>
            </w:pPr>
            <w:r w:rsidRPr="008F4935">
              <w:rPr>
                <w:rFonts w:asciiTheme="majorHAnsi" w:hAnsiTheme="majorHAnsi" w:cs="Arial"/>
                <w:sz w:val="22"/>
                <w:szCs w:val="22"/>
                <w:shd w:val="clear" w:color="auto" w:fill="FFFFFF"/>
              </w:rPr>
              <w:t>david@daylward.org</w:t>
            </w:r>
          </w:p>
        </w:tc>
        <w:tc>
          <w:tcPr>
            <w:tcW w:w="2126" w:type="dxa"/>
          </w:tcPr>
          <w:p w14:paraId="30D6E4E8" w14:textId="411ADFB0" w:rsidR="002A7CB3" w:rsidRPr="008F4935" w:rsidRDefault="00986AD8" w:rsidP="00391E17">
            <w:pPr>
              <w:rPr>
                <w:rFonts w:asciiTheme="majorHAnsi" w:hAnsiTheme="majorHAnsi"/>
                <w:sz w:val="22"/>
                <w:szCs w:val="22"/>
              </w:rPr>
            </w:pPr>
            <w:r w:rsidRPr="008F4935">
              <w:rPr>
                <w:rFonts w:asciiTheme="majorHAnsi" w:hAnsiTheme="majorHAnsi"/>
                <w:sz w:val="22"/>
                <w:szCs w:val="22"/>
              </w:rPr>
              <w:t>India, Kenya</w:t>
            </w:r>
          </w:p>
        </w:tc>
      </w:tr>
      <w:tr w:rsidR="008F4935" w:rsidRPr="008F4935" w14:paraId="57B6E815" w14:textId="77777777" w:rsidTr="00AB21EF">
        <w:tc>
          <w:tcPr>
            <w:tcW w:w="1419" w:type="dxa"/>
          </w:tcPr>
          <w:p w14:paraId="28A817E2" w14:textId="3F0433EF" w:rsidR="002A7CB3" w:rsidRPr="008F4935" w:rsidRDefault="00986AD8" w:rsidP="00391E17">
            <w:pPr>
              <w:rPr>
                <w:rFonts w:asciiTheme="majorHAnsi" w:hAnsiTheme="majorHAnsi"/>
                <w:sz w:val="22"/>
                <w:szCs w:val="22"/>
              </w:rPr>
            </w:pPr>
            <w:r w:rsidRPr="008F4935">
              <w:rPr>
                <w:rFonts w:asciiTheme="majorHAnsi" w:hAnsiTheme="majorHAnsi"/>
                <w:sz w:val="22"/>
                <w:szCs w:val="22"/>
              </w:rPr>
              <w:t>Joaquin Blaya</w:t>
            </w:r>
          </w:p>
        </w:tc>
        <w:tc>
          <w:tcPr>
            <w:tcW w:w="1642" w:type="dxa"/>
          </w:tcPr>
          <w:p w14:paraId="53A8FE8F" w14:textId="1F493F3A" w:rsidR="002A7CB3" w:rsidRPr="008F4935" w:rsidRDefault="00986AD8" w:rsidP="00391E17">
            <w:pPr>
              <w:rPr>
                <w:rFonts w:asciiTheme="majorHAnsi" w:hAnsiTheme="majorHAnsi"/>
                <w:sz w:val="22"/>
                <w:szCs w:val="22"/>
              </w:rPr>
            </w:pPr>
            <w:r w:rsidRPr="008F4935">
              <w:rPr>
                <w:rFonts w:asciiTheme="majorHAnsi" w:hAnsiTheme="majorHAnsi"/>
                <w:sz w:val="22"/>
                <w:szCs w:val="22"/>
              </w:rPr>
              <w:t>Director of International &amp; Social Impact Projects</w:t>
            </w:r>
          </w:p>
        </w:tc>
        <w:tc>
          <w:tcPr>
            <w:tcW w:w="1707" w:type="dxa"/>
          </w:tcPr>
          <w:p w14:paraId="153A9C67" w14:textId="580B6105" w:rsidR="002A7CB3" w:rsidRPr="008F4935" w:rsidRDefault="00986AD8" w:rsidP="00391E17">
            <w:pPr>
              <w:rPr>
                <w:rFonts w:asciiTheme="majorHAnsi" w:hAnsiTheme="majorHAnsi"/>
                <w:sz w:val="22"/>
                <w:szCs w:val="22"/>
              </w:rPr>
            </w:pPr>
            <w:r w:rsidRPr="008F4935">
              <w:rPr>
                <w:rFonts w:asciiTheme="majorHAnsi" w:hAnsiTheme="majorHAnsi"/>
                <w:sz w:val="22"/>
                <w:szCs w:val="22"/>
              </w:rPr>
              <w:t>Lumiata</w:t>
            </w:r>
          </w:p>
        </w:tc>
        <w:tc>
          <w:tcPr>
            <w:tcW w:w="2682" w:type="dxa"/>
          </w:tcPr>
          <w:p w14:paraId="048ED6D7" w14:textId="70C2E9D1" w:rsidR="002A7CB3" w:rsidRPr="008F4935" w:rsidRDefault="00986AD8" w:rsidP="00391E17">
            <w:pPr>
              <w:rPr>
                <w:rFonts w:asciiTheme="majorHAnsi" w:hAnsiTheme="majorHAnsi"/>
                <w:sz w:val="22"/>
                <w:szCs w:val="22"/>
              </w:rPr>
            </w:pPr>
            <w:r w:rsidRPr="008F4935">
              <w:rPr>
                <w:rFonts w:asciiTheme="majorHAnsi" w:hAnsiTheme="majorHAnsi" w:cs="Arial"/>
                <w:sz w:val="22"/>
                <w:szCs w:val="22"/>
                <w:shd w:val="clear" w:color="auto" w:fill="FFFFFF"/>
              </w:rPr>
              <w:t>joaquinblaya@gmail.com</w:t>
            </w:r>
          </w:p>
        </w:tc>
        <w:tc>
          <w:tcPr>
            <w:tcW w:w="2126" w:type="dxa"/>
          </w:tcPr>
          <w:p w14:paraId="76D4AB27" w14:textId="65F36BBC" w:rsidR="002A7CB3" w:rsidRPr="008F4935" w:rsidRDefault="009F397C" w:rsidP="00391E17">
            <w:pPr>
              <w:rPr>
                <w:rFonts w:asciiTheme="majorHAnsi" w:hAnsiTheme="majorHAnsi"/>
                <w:sz w:val="22"/>
                <w:szCs w:val="22"/>
              </w:rPr>
            </w:pPr>
            <w:r w:rsidRPr="008F4935">
              <w:rPr>
                <w:rFonts w:asciiTheme="majorHAnsi" w:hAnsiTheme="majorHAnsi"/>
                <w:sz w:val="22"/>
                <w:szCs w:val="22"/>
              </w:rPr>
              <w:t>Australia, Chile, Latin America, New Zealand, Taiwan</w:t>
            </w:r>
          </w:p>
        </w:tc>
      </w:tr>
      <w:tr w:rsidR="00DE44AC" w:rsidRPr="008F4935" w14:paraId="57986613" w14:textId="77777777" w:rsidTr="00AB21EF">
        <w:tc>
          <w:tcPr>
            <w:tcW w:w="1419" w:type="dxa"/>
          </w:tcPr>
          <w:p w14:paraId="7B082286" w14:textId="0C90D760" w:rsidR="00DE44AC" w:rsidRPr="008F4935" w:rsidRDefault="00DE44AC" w:rsidP="00391E17">
            <w:pPr>
              <w:rPr>
                <w:rFonts w:asciiTheme="majorHAnsi" w:hAnsiTheme="majorHAnsi"/>
                <w:sz w:val="22"/>
                <w:szCs w:val="22"/>
              </w:rPr>
            </w:pPr>
            <w:r>
              <w:rPr>
                <w:rFonts w:asciiTheme="majorHAnsi" w:hAnsiTheme="majorHAnsi"/>
                <w:sz w:val="22"/>
                <w:szCs w:val="22"/>
              </w:rPr>
              <w:t>Timothy Cromwell</w:t>
            </w:r>
          </w:p>
        </w:tc>
        <w:tc>
          <w:tcPr>
            <w:tcW w:w="1642" w:type="dxa"/>
          </w:tcPr>
          <w:p w14:paraId="02215AA8" w14:textId="2BA323A4" w:rsidR="00DE44AC" w:rsidRPr="008F4935" w:rsidRDefault="00DE44AC" w:rsidP="00251F54">
            <w:pPr>
              <w:rPr>
                <w:rFonts w:asciiTheme="majorHAnsi" w:hAnsiTheme="majorHAnsi"/>
                <w:sz w:val="22"/>
                <w:szCs w:val="22"/>
              </w:rPr>
            </w:pPr>
            <w:r>
              <w:rPr>
                <w:rFonts w:asciiTheme="majorHAnsi" w:hAnsiTheme="majorHAnsi"/>
                <w:sz w:val="22"/>
                <w:szCs w:val="22"/>
              </w:rPr>
              <w:t>Consultant</w:t>
            </w:r>
          </w:p>
        </w:tc>
        <w:tc>
          <w:tcPr>
            <w:tcW w:w="1707" w:type="dxa"/>
          </w:tcPr>
          <w:p w14:paraId="549F88C4" w14:textId="2C9B1309" w:rsidR="00DE44AC" w:rsidRPr="008F4935" w:rsidRDefault="00DE44AC" w:rsidP="00391E17">
            <w:pPr>
              <w:rPr>
                <w:rFonts w:asciiTheme="majorHAnsi" w:hAnsiTheme="majorHAnsi"/>
                <w:sz w:val="22"/>
                <w:szCs w:val="22"/>
              </w:rPr>
            </w:pPr>
            <w:r>
              <w:rPr>
                <w:rFonts w:asciiTheme="majorHAnsi" w:hAnsiTheme="majorHAnsi"/>
                <w:sz w:val="22"/>
                <w:szCs w:val="22"/>
              </w:rPr>
              <w:t>JP Systems</w:t>
            </w:r>
          </w:p>
        </w:tc>
        <w:tc>
          <w:tcPr>
            <w:tcW w:w="2682" w:type="dxa"/>
          </w:tcPr>
          <w:p w14:paraId="074EA7B8" w14:textId="395C42BB" w:rsidR="00DE44AC" w:rsidRPr="00DE44AC" w:rsidRDefault="00DE44AC" w:rsidP="00391E17">
            <w:pPr>
              <w:rPr>
                <w:rFonts w:asciiTheme="majorHAnsi" w:hAnsiTheme="majorHAnsi"/>
                <w:sz w:val="22"/>
                <w:szCs w:val="22"/>
                <w:shd w:val="clear" w:color="auto" w:fill="FFFFFF"/>
              </w:rPr>
            </w:pPr>
            <w:r w:rsidRPr="00DE44AC">
              <w:rPr>
                <w:rFonts w:asciiTheme="majorHAnsi" w:hAnsiTheme="majorHAnsi" w:cs="Arial"/>
                <w:sz w:val="22"/>
                <w:szCs w:val="22"/>
              </w:rPr>
              <w:t>timothy.cromwell2@va.gov</w:t>
            </w:r>
          </w:p>
        </w:tc>
        <w:tc>
          <w:tcPr>
            <w:tcW w:w="2126" w:type="dxa"/>
          </w:tcPr>
          <w:p w14:paraId="6F84E029" w14:textId="2378E2EA" w:rsidR="00DE44AC" w:rsidRPr="008F4935" w:rsidRDefault="00DE44AC" w:rsidP="00391E17">
            <w:pPr>
              <w:rPr>
                <w:rFonts w:asciiTheme="majorHAnsi" w:hAnsiTheme="majorHAnsi"/>
                <w:sz w:val="22"/>
                <w:szCs w:val="22"/>
              </w:rPr>
            </w:pPr>
            <w:r>
              <w:rPr>
                <w:rFonts w:asciiTheme="majorHAnsi" w:hAnsiTheme="majorHAnsi"/>
                <w:sz w:val="22"/>
                <w:szCs w:val="22"/>
              </w:rPr>
              <w:t>Lesotho, United States</w:t>
            </w:r>
          </w:p>
        </w:tc>
      </w:tr>
      <w:tr w:rsidR="008F4935" w:rsidRPr="008F4935" w14:paraId="51E683EB" w14:textId="77777777" w:rsidTr="00AB21EF">
        <w:tc>
          <w:tcPr>
            <w:tcW w:w="1419" w:type="dxa"/>
          </w:tcPr>
          <w:p w14:paraId="1EF263A5" w14:textId="1E1374EC" w:rsidR="002A7CB3" w:rsidRPr="008F4935" w:rsidRDefault="00251F54" w:rsidP="00391E17">
            <w:pPr>
              <w:rPr>
                <w:rFonts w:asciiTheme="majorHAnsi" w:hAnsiTheme="majorHAnsi"/>
                <w:sz w:val="22"/>
                <w:szCs w:val="22"/>
              </w:rPr>
            </w:pPr>
            <w:r w:rsidRPr="008F4935">
              <w:rPr>
                <w:rFonts w:asciiTheme="majorHAnsi" w:hAnsiTheme="majorHAnsi"/>
                <w:sz w:val="22"/>
                <w:szCs w:val="22"/>
              </w:rPr>
              <w:t>Jan Flowers</w:t>
            </w:r>
          </w:p>
        </w:tc>
        <w:tc>
          <w:tcPr>
            <w:tcW w:w="1642" w:type="dxa"/>
          </w:tcPr>
          <w:p w14:paraId="53E567A3" w14:textId="0104839D" w:rsidR="002A7CB3" w:rsidRPr="008F4935" w:rsidRDefault="00251F54" w:rsidP="00251F54">
            <w:pPr>
              <w:rPr>
                <w:rFonts w:asciiTheme="majorHAnsi" w:hAnsiTheme="majorHAnsi"/>
                <w:sz w:val="22"/>
                <w:szCs w:val="22"/>
              </w:rPr>
            </w:pPr>
            <w:r w:rsidRPr="008F4935">
              <w:rPr>
                <w:rFonts w:asciiTheme="majorHAnsi" w:hAnsiTheme="majorHAnsi"/>
                <w:sz w:val="22"/>
                <w:szCs w:val="22"/>
              </w:rPr>
              <w:t>Senior Informatics Advisor, Global Health; Clinical Faculty</w:t>
            </w:r>
          </w:p>
        </w:tc>
        <w:tc>
          <w:tcPr>
            <w:tcW w:w="1707" w:type="dxa"/>
          </w:tcPr>
          <w:p w14:paraId="22C5C8FC" w14:textId="19D46B0B" w:rsidR="002A7CB3" w:rsidRPr="008F4935" w:rsidRDefault="00251F54" w:rsidP="00391E17">
            <w:pPr>
              <w:rPr>
                <w:rFonts w:asciiTheme="majorHAnsi" w:hAnsiTheme="majorHAnsi"/>
                <w:sz w:val="22"/>
                <w:szCs w:val="22"/>
              </w:rPr>
            </w:pPr>
            <w:r w:rsidRPr="008F4935">
              <w:rPr>
                <w:rFonts w:asciiTheme="majorHAnsi" w:hAnsiTheme="majorHAnsi"/>
                <w:sz w:val="22"/>
                <w:szCs w:val="22"/>
              </w:rPr>
              <w:t>University of Washington School of Nursing</w:t>
            </w:r>
          </w:p>
        </w:tc>
        <w:tc>
          <w:tcPr>
            <w:tcW w:w="2682" w:type="dxa"/>
          </w:tcPr>
          <w:p w14:paraId="18BC2D30" w14:textId="41D43702" w:rsidR="002A7CB3" w:rsidRPr="008F4935" w:rsidRDefault="00251F54" w:rsidP="00391E17">
            <w:pPr>
              <w:rPr>
                <w:rFonts w:asciiTheme="majorHAnsi" w:hAnsiTheme="majorHAnsi"/>
                <w:sz w:val="22"/>
                <w:szCs w:val="22"/>
              </w:rPr>
            </w:pPr>
            <w:r w:rsidRPr="008F4935">
              <w:rPr>
                <w:rFonts w:asciiTheme="majorHAnsi" w:hAnsiTheme="majorHAnsi"/>
                <w:sz w:val="22"/>
                <w:szCs w:val="22"/>
                <w:shd w:val="clear" w:color="auto" w:fill="FFFFFF"/>
              </w:rPr>
              <w:t>jflow2@uw.edu</w:t>
            </w:r>
          </w:p>
        </w:tc>
        <w:tc>
          <w:tcPr>
            <w:tcW w:w="2126" w:type="dxa"/>
          </w:tcPr>
          <w:p w14:paraId="061E426A" w14:textId="6B7945FE" w:rsidR="002A7CB3" w:rsidRPr="008F4935" w:rsidRDefault="00251F54" w:rsidP="00391E17">
            <w:pPr>
              <w:rPr>
                <w:rFonts w:asciiTheme="majorHAnsi" w:hAnsiTheme="majorHAnsi"/>
                <w:sz w:val="22"/>
                <w:szCs w:val="22"/>
              </w:rPr>
            </w:pPr>
            <w:r w:rsidRPr="008F4935">
              <w:rPr>
                <w:rFonts w:asciiTheme="majorHAnsi" w:hAnsiTheme="majorHAnsi"/>
                <w:sz w:val="22"/>
                <w:szCs w:val="22"/>
              </w:rPr>
              <w:t>Haiti, Kenya, Mozambique, Vietnam</w:t>
            </w:r>
          </w:p>
        </w:tc>
      </w:tr>
      <w:tr w:rsidR="008F4935" w:rsidRPr="008F4935" w14:paraId="3632FEFD" w14:textId="77777777" w:rsidTr="00AB21EF">
        <w:tc>
          <w:tcPr>
            <w:tcW w:w="1419" w:type="dxa"/>
          </w:tcPr>
          <w:p w14:paraId="135FBD0B" w14:textId="1D84ED35" w:rsidR="002A7CB3" w:rsidRPr="008F4935" w:rsidRDefault="00716068" w:rsidP="00391E17">
            <w:pPr>
              <w:rPr>
                <w:rFonts w:asciiTheme="majorHAnsi" w:hAnsiTheme="majorHAnsi"/>
                <w:sz w:val="22"/>
                <w:szCs w:val="22"/>
              </w:rPr>
            </w:pPr>
            <w:r w:rsidRPr="008F4935">
              <w:rPr>
                <w:rFonts w:asciiTheme="majorHAnsi" w:hAnsiTheme="majorHAnsi"/>
                <w:sz w:val="22"/>
                <w:szCs w:val="22"/>
              </w:rPr>
              <w:t>Erik Pupo</w:t>
            </w:r>
          </w:p>
        </w:tc>
        <w:tc>
          <w:tcPr>
            <w:tcW w:w="1642" w:type="dxa"/>
          </w:tcPr>
          <w:p w14:paraId="5AE40D56" w14:textId="5CF06240" w:rsidR="002A7CB3" w:rsidRPr="008F4935" w:rsidRDefault="00886F46" w:rsidP="00391E17">
            <w:pPr>
              <w:rPr>
                <w:rFonts w:asciiTheme="majorHAnsi" w:hAnsiTheme="majorHAnsi"/>
                <w:sz w:val="22"/>
                <w:szCs w:val="22"/>
              </w:rPr>
            </w:pPr>
            <w:r w:rsidRPr="008F4935">
              <w:rPr>
                <w:rFonts w:asciiTheme="majorHAnsi" w:hAnsiTheme="majorHAnsi"/>
                <w:sz w:val="22"/>
                <w:szCs w:val="22"/>
              </w:rPr>
              <w:t>Managing Director, North America Clinical and Health Management Services</w:t>
            </w:r>
          </w:p>
        </w:tc>
        <w:tc>
          <w:tcPr>
            <w:tcW w:w="1707" w:type="dxa"/>
          </w:tcPr>
          <w:p w14:paraId="79E07AE0" w14:textId="0F8CD39D" w:rsidR="002A7CB3" w:rsidRPr="008F4935" w:rsidRDefault="00716068" w:rsidP="00391E17">
            <w:pPr>
              <w:rPr>
                <w:rFonts w:asciiTheme="majorHAnsi" w:hAnsiTheme="majorHAnsi"/>
                <w:sz w:val="22"/>
                <w:szCs w:val="22"/>
              </w:rPr>
            </w:pPr>
            <w:r w:rsidRPr="008F4935">
              <w:rPr>
                <w:rFonts w:asciiTheme="majorHAnsi" w:hAnsiTheme="majorHAnsi"/>
                <w:sz w:val="22"/>
                <w:szCs w:val="22"/>
              </w:rPr>
              <w:t>Accenture</w:t>
            </w:r>
          </w:p>
        </w:tc>
        <w:tc>
          <w:tcPr>
            <w:tcW w:w="2682" w:type="dxa"/>
          </w:tcPr>
          <w:p w14:paraId="33D6CD06" w14:textId="4E242D73" w:rsidR="002A7CB3" w:rsidRPr="008F4935" w:rsidRDefault="00886F46" w:rsidP="00391E17">
            <w:pPr>
              <w:rPr>
                <w:rFonts w:asciiTheme="majorHAnsi" w:hAnsiTheme="majorHAnsi"/>
                <w:sz w:val="22"/>
                <w:szCs w:val="22"/>
              </w:rPr>
            </w:pPr>
            <w:r w:rsidRPr="008F4935">
              <w:rPr>
                <w:rFonts w:asciiTheme="majorHAnsi" w:hAnsiTheme="majorHAnsi"/>
                <w:sz w:val="22"/>
                <w:szCs w:val="22"/>
              </w:rPr>
              <w:t>erik.pupo@accenture.com</w:t>
            </w:r>
          </w:p>
        </w:tc>
        <w:tc>
          <w:tcPr>
            <w:tcW w:w="2126" w:type="dxa"/>
          </w:tcPr>
          <w:p w14:paraId="52843D5D" w14:textId="7D9BD2CA" w:rsidR="002A7CB3" w:rsidRPr="008F4935" w:rsidRDefault="00716068" w:rsidP="00391E17">
            <w:pPr>
              <w:rPr>
                <w:rFonts w:asciiTheme="majorHAnsi" w:hAnsiTheme="majorHAnsi"/>
                <w:sz w:val="22"/>
                <w:szCs w:val="22"/>
              </w:rPr>
            </w:pPr>
            <w:r w:rsidRPr="008F4935">
              <w:rPr>
                <w:rFonts w:asciiTheme="majorHAnsi" w:hAnsiTheme="majorHAnsi"/>
                <w:sz w:val="22"/>
                <w:szCs w:val="22"/>
              </w:rPr>
              <w:t>Brazil, Kenya, Tanzania, Uganda, epSOS</w:t>
            </w:r>
          </w:p>
        </w:tc>
      </w:tr>
      <w:tr w:rsidR="008F4935" w:rsidRPr="008F4935" w14:paraId="3D6E935B" w14:textId="77777777" w:rsidTr="00AB21EF">
        <w:tc>
          <w:tcPr>
            <w:tcW w:w="1419" w:type="dxa"/>
          </w:tcPr>
          <w:p w14:paraId="5D6D0075" w14:textId="1B10A237" w:rsidR="002A7CB3" w:rsidRPr="008F4935" w:rsidRDefault="000558C4" w:rsidP="00391E17">
            <w:pPr>
              <w:rPr>
                <w:rFonts w:asciiTheme="majorHAnsi" w:hAnsiTheme="majorHAnsi"/>
                <w:sz w:val="22"/>
                <w:szCs w:val="22"/>
              </w:rPr>
            </w:pPr>
            <w:r w:rsidRPr="008F4935">
              <w:rPr>
                <w:rFonts w:asciiTheme="majorHAnsi" w:hAnsiTheme="majorHAnsi"/>
                <w:sz w:val="22"/>
                <w:szCs w:val="22"/>
              </w:rPr>
              <w:t>Andrew Truscott</w:t>
            </w:r>
          </w:p>
        </w:tc>
        <w:tc>
          <w:tcPr>
            <w:tcW w:w="1642" w:type="dxa"/>
          </w:tcPr>
          <w:p w14:paraId="39B76C75" w14:textId="73377887" w:rsidR="002A7CB3" w:rsidRPr="008F4935" w:rsidRDefault="000558C4" w:rsidP="00391E17">
            <w:pPr>
              <w:rPr>
                <w:rFonts w:asciiTheme="majorHAnsi" w:hAnsiTheme="majorHAnsi"/>
                <w:sz w:val="22"/>
                <w:szCs w:val="22"/>
              </w:rPr>
            </w:pPr>
            <w:r w:rsidRPr="008F4935">
              <w:rPr>
                <w:rFonts w:asciiTheme="majorHAnsi" w:hAnsiTheme="majorHAnsi"/>
                <w:sz w:val="22"/>
                <w:szCs w:val="22"/>
              </w:rPr>
              <w:t>Partner</w:t>
            </w:r>
          </w:p>
        </w:tc>
        <w:tc>
          <w:tcPr>
            <w:tcW w:w="1707" w:type="dxa"/>
          </w:tcPr>
          <w:p w14:paraId="4CC8AA2E" w14:textId="682BCBD4" w:rsidR="002A7CB3" w:rsidRPr="008F4935" w:rsidRDefault="000558C4" w:rsidP="00391E17">
            <w:pPr>
              <w:rPr>
                <w:rFonts w:asciiTheme="majorHAnsi" w:hAnsiTheme="majorHAnsi"/>
                <w:sz w:val="22"/>
                <w:szCs w:val="22"/>
              </w:rPr>
            </w:pPr>
            <w:r w:rsidRPr="008F4935">
              <w:rPr>
                <w:rFonts w:asciiTheme="majorHAnsi" w:hAnsiTheme="majorHAnsi"/>
                <w:sz w:val="22"/>
                <w:szCs w:val="22"/>
              </w:rPr>
              <w:t>Accenture</w:t>
            </w:r>
          </w:p>
        </w:tc>
        <w:tc>
          <w:tcPr>
            <w:tcW w:w="2682" w:type="dxa"/>
          </w:tcPr>
          <w:p w14:paraId="49359335" w14:textId="43080F07" w:rsidR="002A7CB3" w:rsidRPr="008F4935" w:rsidRDefault="007F470E" w:rsidP="00391E17">
            <w:pPr>
              <w:rPr>
                <w:rFonts w:asciiTheme="majorHAnsi" w:hAnsiTheme="majorHAnsi"/>
                <w:sz w:val="22"/>
                <w:szCs w:val="22"/>
              </w:rPr>
            </w:pPr>
            <w:r w:rsidRPr="008F4935">
              <w:rPr>
                <w:rFonts w:asciiTheme="majorHAnsi" w:hAnsiTheme="majorHAnsi" w:cs="Arial"/>
                <w:sz w:val="22"/>
                <w:szCs w:val="22"/>
              </w:rPr>
              <w:t>andrew.j.truscott@accenture.com</w:t>
            </w:r>
          </w:p>
        </w:tc>
        <w:tc>
          <w:tcPr>
            <w:tcW w:w="2126" w:type="dxa"/>
          </w:tcPr>
          <w:p w14:paraId="275D32B2" w14:textId="7D9C8DD2" w:rsidR="002A7CB3" w:rsidRPr="008F4935" w:rsidRDefault="007F470E" w:rsidP="00391E17">
            <w:pPr>
              <w:rPr>
                <w:rFonts w:asciiTheme="majorHAnsi" w:hAnsiTheme="majorHAnsi"/>
                <w:sz w:val="22"/>
                <w:szCs w:val="22"/>
              </w:rPr>
            </w:pPr>
            <w:r w:rsidRPr="008F4935">
              <w:rPr>
                <w:rFonts w:asciiTheme="majorHAnsi" w:hAnsiTheme="majorHAnsi"/>
                <w:sz w:val="22"/>
                <w:szCs w:val="22"/>
              </w:rPr>
              <w:t>Angola, Brazil, Australia, Canada, Denmark, epSOS, France, Germany, Norway, United Kingdom, Saudi Arabia, Singapore</w:t>
            </w:r>
          </w:p>
        </w:tc>
      </w:tr>
    </w:tbl>
    <w:p w14:paraId="517B602B" w14:textId="77777777" w:rsidR="002A7CB3" w:rsidRDefault="002A7CB3" w:rsidP="002A7CB3">
      <w:pPr>
        <w:spacing w:after="120"/>
        <w:rPr>
          <w:rFonts w:asciiTheme="majorHAnsi" w:hAnsiTheme="majorHAnsi"/>
          <w:b/>
        </w:rPr>
      </w:pPr>
    </w:p>
    <w:p w14:paraId="691F3888" w14:textId="741DD6D5" w:rsidR="002A7CB3" w:rsidRDefault="002A7CB3" w:rsidP="002A7CB3">
      <w:pPr>
        <w:spacing w:after="120"/>
        <w:rPr>
          <w:rFonts w:asciiTheme="majorHAnsi" w:hAnsiTheme="majorHAnsi"/>
          <w:b/>
        </w:rPr>
      </w:pPr>
      <w:r>
        <w:rPr>
          <w:rFonts w:asciiTheme="majorHAnsi" w:hAnsiTheme="majorHAnsi"/>
          <w:b/>
        </w:rPr>
        <w:t>North America</w:t>
      </w:r>
    </w:p>
    <w:tbl>
      <w:tblPr>
        <w:tblStyle w:val="TableGrid"/>
        <w:tblW w:w="0" w:type="auto"/>
        <w:tblLook w:val="04A0" w:firstRow="1" w:lastRow="0" w:firstColumn="1" w:lastColumn="0" w:noHBand="0" w:noVBand="1"/>
      </w:tblPr>
      <w:tblGrid>
        <w:gridCol w:w="1441"/>
        <w:gridCol w:w="1395"/>
        <w:gridCol w:w="1762"/>
        <w:gridCol w:w="2852"/>
        <w:gridCol w:w="2126"/>
      </w:tblGrid>
      <w:tr w:rsidR="00AB21EF" w:rsidRPr="00AB21EF" w14:paraId="3EDFA8F3" w14:textId="77777777" w:rsidTr="00AB21EF">
        <w:trPr>
          <w:tblHeader/>
        </w:trPr>
        <w:tc>
          <w:tcPr>
            <w:tcW w:w="1441" w:type="dxa"/>
          </w:tcPr>
          <w:p w14:paraId="6DC896EA"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Contact Name</w:t>
            </w:r>
          </w:p>
        </w:tc>
        <w:tc>
          <w:tcPr>
            <w:tcW w:w="1395" w:type="dxa"/>
          </w:tcPr>
          <w:p w14:paraId="43528339"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Title</w:t>
            </w:r>
          </w:p>
        </w:tc>
        <w:tc>
          <w:tcPr>
            <w:tcW w:w="1762" w:type="dxa"/>
          </w:tcPr>
          <w:p w14:paraId="4F80F10E"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Organization</w:t>
            </w:r>
          </w:p>
        </w:tc>
        <w:tc>
          <w:tcPr>
            <w:tcW w:w="2852" w:type="dxa"/>
          </w:tcPr>
          <w:p w14:paraId="20AC8DA4"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Email</w:t>
            </w:r>
          </w:p>
        </w:tc>
        <w:tc>
          <w:tcPr>
            <w:tcW w:w="2126" w:type="dxa"/>
          </w:tcPr>
          <w:p w14:paraId="16C2811B" w14:textId="77777777" w:rsidR="002A7CB3" w:rsidRPr="00AB21EF" w:rsidRDefault="002A7CB3" w:rsidP="00391E17">
            <w:pPr>
              <w:jc w:val="center"/>
              <w:rPr>
                <w:rFonts w:asciiTheme="majorHAnsi" w:hAnsiTheme="majorHAnsi"/>
                <w:b/>
                <w:sz w:val="22"/>
                <w:szCs w:val="22"/>
              </w:rPr>
            </w:pPr>
            <w:r w:rsidRPr="00AB21EF">
              <w:rPr>
                <w:rFonts w:asciiTheme="majorHAnsi" w:hAnsiTheme="majorHAnsi"/>
                <w:b/>
                <w:sz w:val="22"/>
                <w:szCs w:val="22"/>
              </w:rPr>
              <w:t>Country/Countries</w:t>
            </w:r>
          </w:p>
        </w:tc>
      </w:tr>
      <w:tr w:rsidR="00AB21EF" w:rsidRPr="00AB21EF" w14:paraId="1D44757B" w14:textId="77777777" w:rsidTr="00AB21EF">
        <w:tc>
          <w:tcPr>
            <w:tcW w:w="1441" w:type="dxa"/>
          </w:tcPr>
          <w:p w14:paraId="25613856" w14:textId="09097BCC" w:rsidR="002A7CB3" w:rsidRPr="00AB21EF" w:rsidRDefault="00222EF1" w:rsidP="00391E17">
            <w:pPr>
              <w:rPr>
                <w:rFonts w:asciiTheme="majorHAnsi" w:hAnsiTheme="majorHAnsi"/>
                <w:sz w:val="22"/>
                <w:szCs w:val="22"/>
              </w:rPr>
            </w:pPr>
            <w:r w:rsidRPr="00AB21EF">
              <w:rPr>
                <w:rFonts w:asciiTheme="majorHAnsi" w:hAnsiTheme="majorHAnsi"/>
                <w:sz w:val="22"/>
                <w:szCs w:val="22"/>
              </w:rPr>
              <w:t>Dave Cassel</w:t>
            </w:r>
          </w:p>
        </w:tc>
        <w:tc>
          <w:tcPr>
            <w:tcW w:w="1395" w:type="dxa"/>
          </w:tcPr>
          <w:p w14:paraId="1DBB0EB7" w14:textId="4BDEF7CE" w:rsidR="002A7CB3" w:rsidRPr="00AB21EF" w:rsidRDefault="00222EF1" w:rsidP="00391E17">
            <w:pPr>
              <w:rPr>
                <w:rFonts w:asciiTheme="majorHAnsi" w:hAnsiTheme="majorHAnsi"/>
                <w:sz w:val="22"/>
                <w:szCs w:val="22"/>
              </w:rPr>
            </w:pPr>
            <w:r w:rsidRPr="00AB21EF">
              <w:rPr>
                <w:rFonts w:asciiTheme="majorHAnsi" w:hAnsiTheme="majorHAnsi"/>
                <w:sz w:val="22"/>
                <w:szCs w:val="22"/>
              </w:rPr>
              <w:t>Director</w:t>
            </w:r>
          </w:p>
        </w:tc>
        <w:tc>
          <w:tcPr>
            <w:tcW w:w="1762" w:type="dxa"/>
          </w:tcPr>
          <w:p w14:paraId="2C30434C" w14:textId="0042A903" w:rsidR="002A7CB3" w:rsidRPr="00AB21EF" w:rsidRDefault="006821E5" w:rsidP="00391E17">
            <w:pPr>
              <w:rPr>
                <w:rFonts w:asciiTheme="majorHAnsi" w:hAnsiTheme="majorHAnsi"/>
                <w:sz w:val="22"/>
                <w:szCs w:val="22"/>
              </w:rPr>
            </w:pPr>
            <w:r>
              <w:rPr>
                <w:rFonts w:asciiTheme="majorHAnsi" w:hAnsiTheme="majorHAnsi"/>
                <w:sz w:val="22"/>
                <w:szCs w:val="22"/>
              </w:rPr>
              <w:t>Carequality</w:t>
            </w:r>
            <w:r w:rsidRPr="0096444C">
              <w:rPr>
                <w:rFonts w:asciiTheme="majorHAnsi" w:hAnsiTheme="majorHAnsi"/>
                <w:sz w:val="22"/>
                <w:szCs w:val="22"/>
                <w:vertAlign w:val="superscript"/>
              </w:rPr>
              <w:t>®</w:t>
            </w:r>
          </w:p>
        </w:tc>
        <w:tc>
          <w:tcPr>
            <w:tcW w:w="2852" w:type="dxa"/>
          </w:tcPr>
          <w:p w14:paraId="529272A8" w14:textId="14029770" w:rsidR="002A7CB3" w:rsidRPr="00AB21EF" w:rsidRDefault="00222EF1" w:rsidP="00391E17">
            <w:pPr>
              <w:rPr>
                <w:rFonts w:asciiTheme="majorHAnsi" w:hAnsiTheme="majorHAnsi"/>
                <w:sz w:val="22"/>
                <w:szCs w:val="22"/>
              </w:rPr>
            </w:pPr>
            <w:r w:rsidRPr="00AB21EF">
              <w:rPr>
                <w:rFonts w:asciiTheme="majorHAnsi" w:hAnsiTheme="majorHAnsi" w:cs="Arial"/>
                <w:sz w:val="22"/>
                <w:szCs w:val="22"/>
              </w:rPr>
              <w:t>dcassel@sequoiaproject.org</w:t>
            </w:r>
          </w:p>
        </w:tc>
        <w:tc>
          <w:tcPr>
            <w:tcW w:w="2126" w:type="dxa"/>
          </w:tcPr>
          <w:p w14:paraId="57456BC6" w14:textId="42786D44" w:rsidR="002A7CB3" w:rsidRPr="00AB21EF" w:rsidRDefault="00222EF1" w:rsidP="00391E17">
            <w:pPr>
              <w:rPr>
                <w:rFonts w:asciiTheme="majorHAnsi" w:hAnsiTheme="majorHAnsi"/>
                <w:sz w:val="22"/>
                <w:szCs w:val="22"/>
              </w:rPr>
            </w:pPr>
            <w:r w:rsidRPr="00AB21EF">
              <w:rPr>
                <w:rFonts w:asciiTheme="majorHAnsi" w:hAnsiTheme="majorHAnsi"/>
                <w:sz w:val="22"/>
                <w:szCs w:val="22"/>
              </w:rPr>
              <w:t>United States</w:t>
            </w:r>
          </w:p>
        </w:tc>
      </w:tr>
      <w:tr w:rsidR="00AB21EF" w:rsidRPr="00AB21EF" w14:paraId="26CD5D65" w14:textId="77777777" w:rsidTr="00AB21EF">
        <w:tc>
          <w:tcPr>
            <w:tcW w:w="1441" w:type="dxa"/>
          </w:tcPr>
          <w:p w14:paraId="665BAE66" w14:textId="3B4BDED6" w:rsidR="002A7CB3" w:rsidRPr="00AB21EF" w:rsidRDefault="00A839E5" w:rsidP="00391E17">
            <w:pPr>
              <w:rPr>
                <w:rFonts w:asciiTheme="majorHAnsi" w:hAnsiTheme="majorHAnsi"/>
                <w:sz w:val="22"/>
                <w:szCs w:val="22"/>
              </w:rPr>
            </w:pPr>
            <w:r w:rsidRPr="00AB21EF">
              <w:rPr>
                <w:rFonts w:asciiTheme="majorHAnsi" w:hAnsiTheme="majorHAnsi"/>
                <w:sz w:val="22"/>
                <w:szCs w:val="22"/>
              </w:rPr>
              <w:t>Daniel Chaput</w:t>
            </w:r>
          </w:p>
        </w:tc>
        <w:tc>
          <w:tcPr>
            <w:tcW w:w="1395" w:type="dxa"/>
          </w:tcPr>
          <w:p w14:paraId="663E5A2A" w14:textId="7B57DE59" w:rsidR="002A7CB3" w:rsidRPr="00AB21EF" w:rsidRDefault="00A839E5" w:rsidP="00391E17">
            <w:pPr>
              <w:rPr>
                <w:rFonts w:asciiTheme="majorHAnsi" w:hAnsiTheme="majorHAnsi"/>
                <w:sz w:val="22"/>
                <w:szCs w:val="22"/>
              </w:rPr>
            </w:pPr>
            <w:r w:rsidRPr="00AB21EF">
              <w:rPr>
                <w:rFonts w:asciiTheme="majorHAnsi" w:hAnsiTheme="majorHAnsi"/>
                <w:sz w:val="22"/>
                <w:szCs w:val="22"/>
              </w:rPr>
              <w:t>Public Health Analyst</w:t>
            </w:r>
          </w:p>
        </w:tc>
        <w:tc>
          <w:tcPr>
            <w:tcW w:w="1762" w:type="dxa"/>
          </w:tcPr>
          <w:p w14:paraId="0115F8AB" w14:textId="1DFDD851" w:rsidR="002A7CB3" w:rsidRPr="00AB21EF" w:rsidRDefault="00A839E5" w:rsidP="00391E17">
            <w:pPr>
              <w:rPr>
                <w:rFonts w:asciiTheme="majorHAnsi" w:hAnsiTheme="majorHAnsi"/>
                <w:sz w:val="22"/>
                <w:szCs w:val="22"/>
              </w:rPr>
            </w:pPr>
            <w:r w:rsidRPr="00AB21EF">
              <w:rPr>
                <w:rFonts w:asciiTheme="majorHAnsi" w:hAnsiTheme="majorHAnsi"/>
                <w:sz w:val="22"/>
                <w:szCs w:val="22"/>
              </w:rPr>
              <w:t>Office of the National Coordinator for Health Information Technology</w:t>
            </w:r>
          </w:p>
        </w:tc>
        <w:tc>
          <w:tcPr>
            <w:tcW w:w="2852" w:type="dxa"/>
          </w:tcPr>
          <w:p w14:paraId="42F171D1" w14:textId="68B62D25" w:rsidR="002A7CB3" w:rsidRPr="00AB21EF" w:rsidRDefault="00A839E5" w:rsidP="00391E17">
            <w:pPr>
              <w:rPr>
                <w:rFonts w:asciiTheme="majorHAnsi" w:hAnsiTheme="majorHAnsi"/>
                <w:sz w:val="22"/>
                <w:szCs w:val="22"/>
              </w:rPr>
            </w:pPr>
            <w:r w:rsidRPr="00AB21EF">
              <w:rPr>
                <w:rFonts w:asciiTheme="majorHAnsi" w:hAnsiTheme="majorHAnsi"/>
                <w:sz w:val="22"/>
                <w:szCs w:val="22"/>
              </w:rPr>
              <w:t>danielchaput@hhs.gov</w:t>
            </w:r>
          </w:p>
        </w:tc>
        <w:tc>
          <w:tcPr>
            <w:tcW w:w="2126" w:type="dxa"/>
          </w:tcPr>
          <w:p w14:paraId="43A83385" w14:textId="0EE5BF39" w:rsidR="002A7CB3" w:rsidRPr="00AB21EF" w:rsidRDefault="00A839E5" w:rsidP="00391E17">
            <w:pPr>
              <w:rPr>
                <w:rFonts w:asciiTheme="majorHAnsi" w:hAnsiTheme="majorHAnsi"/>
                <w:sz w:val="22"/>
                <w:szCs w:val="22"/>
              </w:rPr>
            </w:pPr>
            <w:r w:rsidRPr="00AB21EF">
              <w:rPr>
                <w:rFonts w:asciiTheme="majorHAnsi" w:hAnsiTheme="majorHAnsi"/>
                <w:sz w:val="22"/>
                <w:szCs w:val="22"/>
              </w:rPr>
              <w:t>United States</w:t>
            </w:r>
          </w:p>
        </w:tc>
      </w:tr>
      <w:tr w:rsidR="00AB21EF" w:rsidRPr="00AB21EF" w14:paraId="1F5EE080" w14:textId="77777777" w:rsidTr="00AB21EF">
        <w:tc>
          <w:tcPr>
            <w:tcW w:w="1441" w:type="dxa"/>
          </w:tcPr>
          <w:p w14:paraId="2F84AAA2" w14:textId="11A9784B" w:rsidR="002A7CB3" w:rsidRPr="00AB21EF" w:rsidRDefault="00A43C11" w:rsidP="00391E17">
            <w:pPr>
              <w:rPr>
                <w:rFonts w:asciiTheme="majorHAnsi" w:hAnsiTheme="majorHAnsi"/>
                <w:sz w:val="22"/>
                <w:szCs w:val="22"/>
              </w:rPr>
            </w:pPr>
            <w:r w:rsidRPr="00AB21EF">
              <w:rPr>
                <w:rFonts w:asciiTheme="majorHAnsi" w:hAnsiTheme="majorHAnsi"/>
                <w:sz w:val="22"/>
                <w:szCs w:val="22"/>
              </w:rPr>
              <w:t>Margaret Donahue</w:t>
            </w:r>
          </w:p>
        </w:tc>
        <w:tc>
          <w:tcPr>
            <w:tcW w:w="1395" w:type="dxa"/>
          </w:tcPr>
          <w:p w14:paraId="0F92D282" w14:textId="2D78928A" w:rsidR="002A7CB3" w:rsidRPr="00AB21EF" w:rsidRDefault="00A43C11" w:rsidP="00391E17">
            <w:pPr>
              <w:rPr>
                <w:rFonts w:asciiTheme="majorHAnsi" w:hAnsiTheme="majorHAnsi"/>
                <w:sz w:val="22"/>
                <w:szCs w:val="22"/>
              </w:rPr>
            </w:pPr>
            <w:r w:rsidRPr="00AB21EF">
              <w:rPr>
                <w:rFonts w:asciiTheme="majorHAnsi" w:hAnsiTheme="majorHAnsi"/>
                <w:sz w:val="22"/>
                <w:szCs w:val="22"/>
              </w:rPr>
              <w:t>Director</w:t>
            </w:r>
          </w:p>
        </w:tc>
        <w:tc>
          <w:tcPr>
            <w:tcW w:w="1762" w:type="dxa"/>
          </w:tcPr>
          <w:p w14:paraId="0EA28DE9" w14:textId="059A81F1" w:rsidR="002A7CB3" w:rsidRPr="00AB21EF" w:rsidRDefault="00A43C11" w:rsidP="00391E17">
            <w:pPr>
              <w:rPr>
                <w:rFonts w:asciiTheme="majorHAnsi" w:hAnsiTheme="majorHAnsi"/>
                <w:sz w:val="22"/>
                <w:szCs w:val="22"/>
              </w:rPr>
            </w:pPr>
            <w:r w:rsidRPr="00AB21EF">
              <w:rPr>
                <w:rFonts w:asciiTheme="majorHAnsi" w:hAnsiTheme="majorHAnsi"/>
                <w:sz w:val="22"/>
                <w:szCs w:val="22"/>
              </w:rPr>
              <w:t>Veterans Health Information Exchange, Veterans Health Administration</w:t>
            </w:r>
          </w:p>
        </w:tc>
        <w:tc>
          <w:tcPr>
            <w:tcW w:w="2852" w:type="dxa"/>
          </w:tcPr>
          <w:p w14:paraId="0D2ADE77" w14:textId="6E6FBBF4" w:rsidR="002A7CB3" w:rsidRPr="00AB21EF" w:rsidRDefault="00A43C11" w:rsidP="00391E17">
            <w:pPr>
              <w:rPr>
                <w:rFonts w:asciiTheme="majorHAnsi" w:hAnsiTheme="majorHAnsi"/>
                <w:sz w:val="22"/>
                <w:szCs w:val="22"/>
              </w:rPr>
            </w:pPr>
            <w:r w:rsidRPr="00AB21EF">
              <w:rPr>
                <w:rFonts w:asciiTheme="majorHAnsi" w:hAnsiTheme="majorHAnsi"/>
                <w:sz w:val="22"/>
                <w:szCs w:val="22"/>
              </w:rPr>
              <w:t>margaret.donahue@va.gov</w:t>
            </w:r>
          </w:p>
        </w:tc>
        <w:tc>
          <w:tcPr>
            <w:tcW w:w="2126" w:type="dxa"/>
          </w:tcPr>
          <w:p w14:paraId="40A54543" w14:textId="4F8A7235" w:rsidR="002A7CB3" w:rsidRPr="00AB21EF" w:rsidRDefault="00A43C11" w:rsidP="00391E17">
            <w:pPr>
              <w:rPr>
                <w:rFonts w:asciiTheme="majorHAnsi" w:hAnsiTheme="majorHAnsi"/>
                <w:sz w:val="22"/>
                <w:szCs w:val="22"/>
              </w:rPr>
            </w:pPr>
            <w:r w:rsidRPr="00AB21EF">
              <w:rPr>
                <w:rFonts w:asciiTheme="majorHAnsi" w:hAnsiTheme="majorHAnsi"/>
                <w:sz w:val="22"/>
                <w:szCs w:val="22"/>
              </w:rPr>
              <w:t>United States</w:t>
            </w:r>
          </w:p>
        </w:tc>
      </w:tr>
      <w:tr w:rsidR="00AB21EF" w:rsidRPr="00AB21EF" w14:paraId="3D47A768" w14:textId="77777777" w:rsidTr="00AB21EF">
        <w:tc>
          <w:tcPr>
            <w:tcW w:w="1441" w:type="dxa"/>
          </w:tcPr>
          <w:p w14:paraId="15D75B14" w14:textId="79F99A2F" w:rsidR="002A7CB3" w:rsidRPr="00AB21EF" w:rsidRDefault="007F470E" w:rsidP="00391E17">
            <w:pPr>
              <w:rPr>
                <w:rFonts w:asciiTheme="majorHAnsi" w:hAnsiTheme="majorHAnsi"/>
                <w:sz w:val="22"/>
                <w:szCs w:val="22"/>
              </w:rPr>
            </w:pPr>
            <w:r>
              <w:rPr>
                <w:rFonts w:asciiTheme="majorHAnsi" w:hAnsiTheme="majorHAnsi"/>
                <w:sz w:val="22"/>
                <w:szCs w:val="22"/>
              </w:rPr>
              <w:t>Joshua Vest</w:t>
            </w:r>
          </w:p>
        </w:tc>
        <w:tc>
          <w:tcPr>
            <w:tcW w:w="1395" w:type="dxa"/>
          </w:tcPr>
          <w:p w14:paraId="01CDDA2C" w14:textId="752DA5EE" w:rsidR="002A7CB3" w:rsidRPr="00AB21EF" w:rsidRDefault="007F470E" w:rsidP="00391E17">
            <w:pPr>
              <w:rPr>
                <w:rFonts w:asciiTheme="majorHAnsi" w:hAnsiTheme="majorHAnsi"/>
                <w:sz w:val="22"/>
                <w:szCs w:val="22"/>
              </w:rPr>
            </w:pPr>
            <w:r>
              <w:rPr>
                <w:rFonts w:asciiTheme="majorHAnsi" w:hAnsiTheme="majorHAnsi"/>
                <w:sz w:val="22"/>
                <w:szCs w:val="22"/>
              </w:rPr>
              <w:t>Associate Professor</w:t>
            </w:r>
          </w:p>
        </w:tc>
        <w:tc>
          <w:tcPr>
            <w:tcW w:w="1762" w:type="dxa"/>
          </w:tcPr>
          <w:p w14:paraId="51377D89" w14:textId="1651FD0A" w:rsidR="002A7CB3" w:rsidRPr="00AB21EF" w:rsidRDefault="007F470E" w:rsidP="00391E17">
            <w:pPr>
              <w:rPr>
                <w:rFonts w:asciiTheme="majorHAnsi" w:hAnsiTheme="majorHAnsi"/>
                <w:sz w:val="22"/>
                <w:szCs w:val="22"/>
              </w:rPr>
            </w:pPr>
            <w:r>
              <w:rPr>
                <w:rFonts w:asciiTheme="majorHAnsi" w:hAnsiTheme="majorHAnsi"/>
                <w:sz w:val="22"/>
                <w:szCs w:val="22"/>
              </w:rPr>
              <w:t>Department of Health Policy &amp; Management, Richard M. Fairbanks School of Public Health, Indiana University</w:t>
            </w:r>
          </w:p>
        </w:tc>
        <w:tc>
          <w:tcPr>
            <w:tcW w:w="2852" w:type="dxa"/>
          </w:tcPr>
          <w:p w14:paraId="58D7C969" w14:textId="5B1C7C91" w:rsidR="002A7CB3" w:rsidRPr="00AB21EF" w:rsidRDefault="007F470E" w:rsidP="00391E17">
            <w:pPr>
              <w:rPr>
                <w:rFonts w:asciiTheme="majorHAnsi" w:hAnsiTheme="majorHAnsi"/>
                <w:sz w:val="22"/>
                <w:szCs w:val="22"/>
              </w:rPr>
            </w:pPr>
            <w:r w:rsidRPr="007F470E">
              <w:rPr>
                <w:rFonts w:asciiTheme="majorHAnsi" w:hAnsiTheme="majorHAnsi"/>
                <w:sz w:val="22"/>
                <w:szCs w:val="22"/>
              </w:rPr>
              <w:t>joshvest@iu.edu</w:t>
            </w:r>
          </w:p>
        </w:tc>
        <w:tc>
          <w:tcPr>
            <w:tcW w:w="2126" w:type="dxa"/>
          </w:tcPr>
          <w:p w14:paraId="6956AD6A" w14:textId="6EE39E14" w:rsidR="002A7CB3" w:rsidRPr="00AB21EF" w:rsidRDefault="007F470E" w:rsidP="00391E17">
            <w:pPr>
              <w:rPr>
                <w:rFonts w:asciiTheme="majorHAnsi" w:hAnsiTheme="majorHAnsi"/>
                <w:sz w:val="22"/>
                <w:szCs w:val="22"/>
              </w:rPr>
            </w:pPr>
            <w:r>
              <w:rPr>
                <w:rFonts w:asciiTheme="majorHAnsi" w:hAnsiTheme="majorHAnsi"/>
                <w:sz w:val="22"/>
                <w:szCs w:val="22"/>
              </w:rPr>
              <w:t>United States</w:t>
            </w:r>
          </w:p>
        </w:tc>
      </w:tr>
    </w:tbl>
    <w:p w14:paraId="3DF985EE" w14:textId="77777777" w:rsidR="00EE3801" w:rsidRDefault="00EE3801" w:rsidP="00EE3801">
      <w:pPr>
        <w:rPr>
          <w:rFonts w:asciiTheme="majorHAnsi" w:hAnsiTheme="majorHAnsi"/>
        </w:rPr>
      </w:pPr>
    </w:p>
    <w:p w14:paraId="506CE0D7" w14:textId="77777777" w:rsidR="000A168D" w:rsidRDefault="000A168D" w:rsidP="00EE3801">
      <w:pPr>
        <w:rPr>
          <w:rFonts w:asciiTheme="majorHAnsi" w:hAnsiTheme="majorHAnsi"/>
        </w:rPr>
      </w:pPr>
    </w:p>
    <w:p w14:paraId="53C7A885" w14:textId="75179160" w:rsidR="003623F6" w:rsidRDefault="003623F6" w:rsidP="003623F6">
      <w:pPr>
        <w:spacing w:after="120"/>
        <w:rPr>
          <w:rFonts w:asciiTheme="majorHAnsi" w:hAnsiTheme="majorHAnsi"/>
          <w:b/>
        </w:rPr>
      </w:pPr>
      <w:r>
        <w:rPr>
          <w:rFonts w:asciiTheme="majorHAnsi" w:hAnsiTheme="majorHAnsi"/>
          <w:b/>
        </w:rPr>
        <w:t>Topic Areas</w:t>
      </w:r>
    </w:p>
    <w:tbl>
      <w:tblPr>
        <w:tblStyle w:val="TableGrid"/>
        <w:tblW w:w="0" w:type="auto"/>
        <w:tblLook w:val="04A0" w:firstRow="1" w:lastRow="0" w:firstColumn="1" w:lastColumn="0" w:noHBand="0" w:noVBand="1"/>
      </w:tblPr>
      <w:tblGrid>
        <w:gridCol w:w="1752"/>
        <w:gridCol w:w="1747"/>
        <w:gridCol w:w="1811"/>
        <w:gridCol w:w="2543"/>
        <w:gridCol w:w="1723"/>
      </w:tblGrid>
      <w:tr w:rsidR="008F4935" w:rsidRPr="008F4935" w14:paraId="74E9D7C0" w14:textId="77777777" w:rsidTr="000A168D">
        <w:trPr>
          <w:tblHeader/>
        </w:trPr>
        <w:tc>
          <w:tcPr>
            <w:tcW w:w="1752" w:type="dxa"/>
          </w:tcPr>
          <w:p w14:paraId="2D98E79C" w14:textId="77777777" w:rsidR="003623F6" w:rsidRPr="008F4935" w:rsidRDefault="003623F6" w:rsidP="00391E17">
            <w:pPr>
              <w:jc w:val="center"/>
              <w:rPr>
                <w:rFonts w:asciiTheme="majorHAnsi" w:hAnsiTheme="majorHAnsi"/>
                <w:b/>
                <w:sz w:val="22"/>
                <w:szCs w:val="22"/>
              </w:rPr>
            </w:pPr>
            <w:r w:rsidRPr="008F4935">
              <w:rPr>
                <w:rFonts w:asciiTheme="majorHAnsi" w:hAnsiTheme="majorHAnsi"/>
                <w:b/>
                <w:sz w:val="22"/>
                <w:szCs w:val="22"/>
              </w:rPr>
              <w:t>Contact Name</w:t>
            </w:r>
          </w:p>
        </w:tc>
        <w:tc>
          <w:tcPr>
            <w:tcW w:w="1747" w:type="dxa"/>
          </w:tcPr>
          <w:p w14:paraId="5DFA17B9" w14:textId="77777777" w:rsidR="003623F6" w:rsidRPr="008F4935" w:rsidRDefault="003623F6" w:rsidP="00391E17">
            <w:pPr>
              <w:jc w:val="center"/>
              <w:rPr>
                <w:rFonts w:asciiTheme="majorHAnsi" w:hAnsiTheme="majorHAnsi"/>
                <w:b/>
                <w:sz w:val="22"/>
                <w:szCs w:val="22"/>
              </w:rPr>
            </w:pPr>
            <w:r w:rsidRPr="008F4935">
              <w:rPr>
                <w:rFonts w:asciiTheme="majorHAnsi" w:hAnsiTheme="majorHAnsi"/>
                <w:b/>
                <w:sz w:val="22"/>
                <w:szCs w:val="22"/>
              </w:rPr>
              <w:t>Title</w:t>
            </w:r>
          </w:p>
        </w:tc>
        <w:tc>
          <w:tcPr>
            <w:tcW w:w="1811" w:type="dxa"/>
          </w:tcPr>
          <w:p w14:paraId="5E6CFC0E" w14:textId="77777777" w:rsidR="003623F6" w:rsidRPr="008F4935" w:rsidRDefault="003623F6" w:rsidP="00391E17">
            <w:pPr>
              <w:jc w:val="center"/>
              <w:rPr>
                <w:rFonts w:asciiTheme="majorHAnsi" w:hAnsiTheme="majorHAnsi"/>
                <w:b/>
                <w:sz w:val="22"/>
                <w:szCs w:val="22"/>
              </w:rPr>
            </w:pPr>
            <w:r w:rsidRPr="008F4935">
              <w:rPr>
                <w:rFonts w:asciiTheme="majorHAnsi" w:hAnsiTheme="majorHAnsi"/>
                <w:b/>
                <w:sz w:val="22"/>
                <w:szCs w:val="22"/>
              </w:rPr>
              <w:t>Organization</w:t>
            </w:r>
          </w:p>
        </w:tc>
        <w:tc>
          <w:tcPr>
            <w:tcW w:w="2543" w:type="dxa"/>
          </w:tcPr>
          <w:p w14:paraId="160E9BDA" w14:textId="77777777" w:rsidR="003623F6" w:rsidRPr="008F4935" w:rsidRDefault="003623F6" w:rsidP="00391E17">
            <w:pPr>
              <w:jc w:val="center"/>
              <w:rPr>
                <w:rFonts w:asciiTheme="majorHAnsi" w:hAnsiTheme="majorHAnsi"/>
                <w:b/>
                <w:sz w:val="22"/>
                <w:szCs w:val="22"/>
              </w:rPr>
            </w:pPr>
            <w:r w:rsidRPr="008F4935">
              <w:rPr>
                <w:rFonts w:asciiTheme="majorHAnsi" w:hAnsiTheme="majorHAnsi"/>
                <w:b/>
                <w:sz w:val="22"/>
                <w:szCs w:val="22"/>
              </w:rPr>
              <w:t>Email</w:t>
            </w:r>
          </w:p>
        </w:tc>
        <w:tc>
          <w:tcPr>
            <w:tcW w:w="1723" w:type="dxa"/>
          </w:tcPr>
          <w:p w14:paraId="497DA9D9" w14:textId="20509914" w:rsidR="003623F6" w:rsidRPr="008F4935" w:rsidRDefault="003623F6" w:rsidP="00391E17">
            <w:pPr>
              <w:jc w:val="center"/>
              <w:rPr>
                <w:rFonts w:asciiTheme="majorHAnsi" w:hAnsiTheme="majorHAnsi"/>
                <w:b/>
                <w:sz w:val="22"/>
                <w:szCs w:val="22"/>
              </w:rPr>
            </w:pPr>
            <w:r w:rsidRPr="008F4935">
              <w:rPr>
                <w:rFonts w:asciiTheme="majorHAnsi" w:hAnsiTheme="majorHAnsi"/>
                <w:b/>
                <w:sz w:val="22"/>
                <w:szCs w:val="22"/>
              </w:rPr>
              <w:t>Topic Area(s)</w:t>
            </w:r>
          </w:p>
        </w:tc>
      </w:tr>
      <w:tr w:rsidR="008F4935" w:rsidRPr="008F4935" w14:paraId="1B2A29CD" w14:textId="77777777" w:rsidTr="000A168D">
        <w:tc>
          <w:tcPr>
            <w:tcW w:w="1752" w:type="dxa"/>
          </w:tcPr>
          <w:p w14:paraId="4A06CC7F" w14:textId="56FE9FB5" w:rsidR="003623F6" w:rsidRPr="008F4935" w:rsidRDefault="000A1F2A" w:rsidP="00391E17">
            <w:pPr>
              <w:rPr>
                <w:rFonts w:asciiTheme="majorHAnsi" w:hAnsiTheme="majorHAnsi"/>
                <w:sz w:val="22"/>
                <w:szCs w:val="22"/>
              </w:rPr>
            </w:pPr>
            <w:r w:rsidRPr="008F4935">
              <w:rPr>
                <w:rFonts w:asciiTheme="majorHAnsi" w:hAnsiTheme="majorHAnsi"/>
                <w:sz w:val="22"/>
                <w:szCs w:val="22"/>
              </w:rPr>
              <w:t>Betsy Humphreys</w:t>
            </w:r>
          </w:p>
        </w:tc>
        <w:tc>
          <w:tcPr>
            <w:tcW w:w="1747" w:type="dxa"/>
          </w:tcPr>
          <w:p w14:paraId="01E0059F" w14:textId="0141D16D" w:rsidR="003623F6" w:rsidRPr="008F4935" w:rsidRDefault="000A1F2A" w:rsidP="00391E17">
            <w:pPr>
              <w:rPr>
                <w:rFonts w:asciiTheme="majorHAnsi" w:hAnsiTheme="majorHAnsi"/>
                <w:sz w:val="22"/>
                <w:szCs w:val="22"/>
              </w:rPr>
            </w:pPr>
            <w:r w:rsidRPr="008F4935">
              <w:rPr>
                <w:rFonts w:asciiTheme="majorHAnsi" w:hAnsiTheme="majorHAnsi"/>
                <w:sz w:val="22"/>
                <w:szCs w:val="22"/>
              </w:rPr>
              <w:t>Acting Director</w:t>
            </w:r>
          </w:p>
        </w:tc>
        <w:tc>
          <w:tcPr>
            <w:tcW w:w="1811" w:type="dxa"/>
          </w:tcPr>
          <w:p w14:paraId="0A44644E" w14:textId="550C00F0" w:rsidR="003623F6" w:rsidRPr="008F4935" w:rsidRDefault="000A1F2A" w:rsidP="00391E17">
            <w:pPr>
              <w:rPr>
                <w:rFonts w:asciiTheme="majorHAnsi" w:hAnsiTheme="majorHAnsi"/>
                <w:sz w:val="22"/>
                <w:szCs w:val="22"/>
              </w:rPr>
            </w:pPr>
            <w:r w:rsidRPr="008F4935">
              <w:rPr>
                <w:rFonts w:asciiTheme="majorHAnsi" w:hAnsiTheme="majorHAnsi"/>
                <w:sz w:val="22"/>
                <w:szCs w:val="22"/>
              </w:rPr>
              <w:t>National Library of Medicine, National Institutes for Health</w:t>
            </w:r>
          </w:p>
        </w:tc>
        <w:tc>
          <w:tcPr>
            <w:tcW w:w="2543" w:type="dxa"/>
          </w:tcPr>
          <w:p w14:paraId="7CC8B902" w14:textId="5AB0EDD3" w:rsidR="003623F6" w:rsidRPr="008F4935" w:rsidRDefault="000A1F2A" w:rsidP="00391E17">
            <w:pPr>
              <w:rPr>
                <w:rFonts w:asciiTheme="majorHAnsi" w:hAnsiTheme="majorHAnsi"/>
                <w:sz w:val="22"/>
                <w:szCs w:val="22"/>
              </w:rPr>
            </w:pPr>
            <w:r w:rsidRPr="008F4935">
              <w:rPr>
                <w:rFonts w:asciiTheme="majorHAnsi" w:hAnsiTheme="majorHAnsi" w:cs="Arial"/>
                <w:sz w:val="22"/>
                <w:szCs w:val="22"/>
                <w:shd w:val="clear" w:color="auto" w:fill="FFFFFF"/>
              </w:rPr>
              <w:t>humphreb@mail.nih.gov</w:t>
            </w:r>
          </w:p>
        </w:tc>
        <w:tc>
          <w:tcPr>
            <w:tcW w:w="1723" w:type="dxa"/>
          </w:tcPr>
          <w:p w14:paraId="3B6E8D29" w14:textId="7ADFFA32" w:rsidR="003623F6" w:rsidRPr="008F4935" w:rsidRDefault="003623F6" w:rsidP="00391E17">
            <w:pPr>
              <w:rPr>
                <w:rFonts w:asciiTheme="majorHAnsi" w:hAnsiTheme="majorHAnsi"/>
                <w:sz w:val="22"/>
                <w:szCs w:val="22"/>
              </w:rPr>
            </w:pPr>
            <w:r w:rsidRPr="008F4935">
              <w:rPr>
                <w:rFonts w:asciiTheme="majorHAnsi" w:hAnsiTheme="majorHAnsi"/>
                <w:sz w:val="22"/>
                <w:szCs w:val="22"/>
              </w:rPr>
              <w:t>Standards, IHTSDO, SNOMED CT</w:t>
            </w:r>
            <w:r w:rsidR="000A1F2A" w:rsidRPr="008F4935">
              <w:rPr>
                <w:rFonts w:asciiTheme="majorHAnsi" w:hAnsiTheme="majorHAnsi"/>
                <w:sz w:val="22"/>
                <w:szCs w:val="22"/>
              </w:rPr>
              <w:t>, LOINC, RxNorm</w:t>
            </w:r>
          </w:p>
        </w:tc>
      </w:tr>
      <w:tr w:rsidR="008F4935" w:rsidRPr="008F4935" w14:paraId="77D39CDF" w14:textId="77777777" w:rsidTr="000A168D">
        <w:tc>
          <w:tcPr>
            <w:tcW w:w="1752" w:type="dxa"/>
          </w:tcPr>
          <w:p w14:paraId="3B925106" w14:textId="7F2750C4" w:rsidR="003623F6" w:rsidRPr="008F4935" w:rsidRDefault="00246EBD" w:rsidP="00391E17">
            <w:pPr>
              <w:rPr>
                <w:rFonts w:asciiTheme="majorHAnsi" w:hAnsiTheme="majorHAnsi"/>
                <w:sz w:val="22"/>
                <w:szCs w:val="22"/>
              </w:rPr>
            </w:pPr>
            <w:r w:rsidRPr="008F4935">
              <w:rPr>
                <w:rFonts w:asciiTheme="majorHAnsi" w:hAnsiTheme="majorHAnsi"/>
                <w:sz w:val="22"/>
                <w:szCs w:val="22"/>
              </w:rPr>
              <w:t>Eric-Jan Manders</w:t>
            </w:r>
          </w:p>
        </w:tc>
        <w:tc>
          <w:tcPr>
            <w:tcW w:w="1747" w:type="dxa"/>
          </w:tcPr>
          <w:p w14:paraId="773B2BD1" w14:textId="22526D62" w:rsidR="003623F6" w:rsidRPr="008F4935" w:rsidRDefault="00246EBD" w:rsidP="00391E17">
            <w:pPr>
              <w:rPr>
                <w:rFonts w:asciiTheme="majorHAnsi" w:hAnsiTheme="majorHAnsi"/>
                <w:sz w:val="22"/>
                <w:szCs w:val="22"/>
              </w:rPr>
            </w:pPr>
            <w:r w:rsidRPr="008F4935">
              <w:rPr>
                <w:rFonts w:asciiTheme="majorHAnsi" w:hAnsiTheme="majorHAnsi"/>
                <w:sz w:val="22"/>
                <w:szCs w:val="22"/>
              </w:rPr>
              <w:t>Health Scientist, Informatics</w:t>
            </w:r>
          </w:p>
        </w:tc>
        <w:tc>
          <w:tcPr>
            <w:tcW w:w="1811" w:type="dxa"/>
          </w:tcPr>
          <w:p w14:paraId="340CEC8F" w14:textId="4F3B1DF2" w:rsidR="003623F6" w:rsidRPr="008F4935" w:rsidRDefault="00246EBD" w:rsidP="00391E17">
            <w:pPr>
              <w:rPr>
                <w:rFonts w:asciiTheme="majorHAnsi" w:hAnsiTheme="majorHAnsi"/>
                <w:sz w:val="22"/>
                <w:szCs w:val="22"/>
              </w:rPr>
            </w:pPr>
            <w:r w:rsidRPr="008F4935">
              <w:rPr>
                <w:rFonts w:asciiTheme="majorHAnsi" w:hAnsiTheme="majorHAnsi"/>
                <w:sz w:val="22"/>
                <w:szCs w:val="22"/>
              </w:rPr>
              <w:t>Centers for Disease Control and Prevention</w:t>
            </w:r>
          </w:p>
        </w:tc>
        <w:tc>
          <w:tcPr>
            <w:tcW w:w="2543" w:type="dxa"/>
          </w:tcPr>
          <w:p w14:paraId="6EDBF88C" w14:textId="4184C22E" w:rsidR="003623F6" w:rsidRPr="008F4935" w:rsidRDefault="00246EBD" w:rsidP="00391E17">
            <w:pPr>
              <w:rPr>
                <w:rFonts w:asciiTheme="majorHAnsi" w:hAnsiTheme="majorHAnsi"/>
                <w:sz w:val="22"/>
                <w:szCs w:val="22"/>
              </w:rPr>
            </w:pPr>
            <w:r w:rsidRPr="008F4935">
              <w:rPr>
                <w:rFonts w:asciiTheme="majorHAnsi" w:hAnsiTheme="majorHAnsi" w:cs="Arial"/>
                <w:sz w:val="22"/>
                <w:szCs w:val="22"/>
                <w:shd w:val="clear" w:color="auto" w:fill="FFFFFF"/>
              </w:rPr>
              <w:t>ejmanders@cdc.gov</w:t>
            </w:r>
          </w:p>
        </w:tc>
        <w:tc>
          <w:tcPr>
            <w:tcW w:w="1723" w:type="dxa"/>
          </w:tcPr>
          <w:p w14:paraId="07DB0175" w14:textId="214A0C45" w:rsidR="003623F6" w:rsidRPr="008F4935" w:rsidRDefault="00246EBD" w:rsidP="00391E17">
            <w:pPr>
              <w:rPr>
                <w:rFonts w:asciiTheme="majorHAnsi" w:hAnsiTheme="majorHAnsi"/>
                <w:sz w:val="22"/>
                <w:szCs w:val="22"/>
              </w:rPr>
            </w:pPr>
            <w:r w:rsidRPr="008F4935">
              <w:rPr>
                <w:rFonts w:asciiTheme="majorHAnsi" w:hAnsiTheme="majorHAnsi"/>
                <w:sz w:val="22"/>
                <w:szCs w:val="22"/>
              </w:rPr>
              <w:t>Case reporting</w:t>
            </w:r>
            <w:r w:rsidR="00915F4C" w:rsidRPr="008F4935">
              <w:rPr>
                <w:rFonts w:asciiTheme="majorHAnsi" w:hAnsiTheme="majorHAnsi"/>
                <w:sz w:val="22"/>
                <w:szCs w:val="22"/>
              </w:rPr>
              <w:t xml:space="preserve"> (Ukraine, Kenya)</w:t>
            </w:r>
          </w:p>
        </w:tc>
      </w:tr>
    </w:tbl>
    <w:p w14:paraId="4D24C923" w14:textId="77777777" w:rsidR="003623F6" w:rsidRDefault="003623F6" w:rsidP="00EE3801">
      <w:pPr>
        <w:rPr>
          <w:rFonts w:asciiTheme="majorHAnsi" w:hAnsiTheme="majorHAnsi"/>
        </w:rPr>
      </w:pPr>
    </w:p>
    <w:p w14:paraId="17452C78" w14:textId="77777777" w:rsidR="003623F6" w:rsidRPr="00EE3801" w:rsidRDefault="003623F6" w:rsidP="00EE3801">
      <w:pPr>
        <w:rPr>
          <w:rFonts w:asciiTheme="majorHAnsi" w:hAnsiTheme="majorHAnsi"/>
        </w:rPr>
        <w:sectPr w:rsidR="003623F6" w:rsidRPr="00EE3801">
          <w:footnotePr>
            <w:numFmt w:val="lowerLetter"/>
          </w:footnotePr>
          <w:pgSz w:w="12240" w:h="15840"/>
          <w:pgMar w:top="1440" w:right="1440" w:bottom="1440" w:left="1440" w:header="720" w:footer="720" w:gutter="0"/>
          <w:cols w:space="720"/>
          <w:docGrid w:linePitch="360"/>
        </w:sectPr>
      </w:pPr>
    </w:p>
    <w:p w14:paraId="75E97BF2" w14:textId="77777777" w:rsidR="003E688F" w:rsidRDefault="003E688F" w:rsidP="00B1394A">
      <w:pPr>
        <w:pStyle w:val="ListParagraph"/>
        <w:numPr>
          <w:ilvl w:val="0"/>
          <w:numId w:val="30"/>
        </w:numPr>
        <w:jc w:val="center"/>
        <w:rPr>
          <w:rFonts w:asciiTheme="majorHAnsi" w:hAnsiTheme="majorHAnsi"/>
          <w:b/>
          <w:sz w:val="28"/>
          <w:szCs w:val="28"/>
        </w:rPr>
      </w:pPr>
      <w:bookmarkStart w:id="25" w:name="_Ref445202044"/>
      <w:r w:rsidRPr="00C624DD">
        <w:rPr>
          <w:rFonts w:asciiTheme="majorHAnsi" w:hAnsiTheme="majorHAnsi"/>
          <w:b/>
          <w:sz w:val="28"/>
          <w:szCs w:val="28"/>
        </w:rPr>
        <w:t>Appendix B – Resources</w:t>
      </w:r>
      <w:bookmarkEnd w:id="25"/>
    </w:p>
    <w:p w14:paraId="1944E508" w14:textId="77777777" w:rsidR="009A04F7" w:rsidRDefault="009A04F7" w:rsidP="003E688F">
      <w:pPr>
        <w:jc w:val="center"/>
        <w:rPr>
          <w:rFonts w:asciiTheme="majorHAnsi" w:hAnsiTheme="majorHAnsi"/>
          <w:b/>
          <w:sz w:val="28"/>
          <w:szCs w:val="28"/>
        </w:rPr>
      </w:pPr>
    </w:p>
    <w:p w14:paraId="2ABD3E86" w14:textId="336C8181" w:rsidR="005005C6" w:rsidRPr="005005C6" w:rsidRDefault="005005C6" w:rsidP="007747CB">
      <w:pPr>
        <w:rPr>
          <w:rFonts w:asciiTheme="majorHAnsi" w:hAnsiTheme="majorHAnsi"/>
        </w:rPr>
      </w:pPr>
      <w:r>
        <w:rPr>
          <w:rFonts w:asciiTheme="majorHAnsi" w:hAnsiTheme="majorHAnsi"/>
          <w:i/>
        </w:rPr>
        <w:t>Note: These resources were used as part of the literature review for this re</w:t>
      </w:r>
      <w:r w:rsidR="002A7BC4">
        <w:rPr>
          <w:rFonts w:asciiTheme="majorHAnsi" w:hAnsiTheme="majorHAnsi"/>
          <w:i/>
        </w:rPr>
        <w:t>view</w:t>
      </w:r>
      <w:r>
        <w:rPr>
          <w:rFonts w:asciiTheme="majorHAnsi" w:hAnsiTheme="majorHAnsi"/>
          <w:i/>
        </w:rPr>
        <w:t xml:space="preserve"> and are presented in alphabetical order by country</w:t>
      </w:r>
      <w:r w:rsidR="00794BDC">
        <w:rPr>
          <w:rFonts w:asciiTheme="majorHAnsi" w:hAnsiTheme="majorHAnsi"/>
          <w:i/>
        </w:rPr>
        <w:t xml:space="preserve"> or organization, as applicable</w:t>
      </w:r>
      <w:r>
        <w:rPr>
          <w:rFonts w:asciiTheme="majorHAnsi" w:hAnsiTheme="majorHAnsi"/>
          <w:i/>
        </w:rPr>
        <w:t>.</w:t>
      </w:r>
    </w:p>
    <w:p w14:paraId="3914642F" w14:textId="77777777" w:rsidR="005005C6" w:rsidRDefault="005005C6" w:rsidP="007747CB">
      <w:pPr>
        <w:rPr>
          <w:rFonts w:asciiTheme="majorHAnsi" w:hAnsiTheme="majorHAnsi"/>
          <w:b/>
        </w:rPr>
      </w:pPr>
    </w:p>
    <w:p w14:paraId="3167C768" w14:textId="77777777" w:rsidR="00794BDC" w:rsidRDefault="00794BDC" w:rsidP="00794BDC">
      <w:pPr>
        <w:rPr>
          <w:rFonts w:asciiTheme="majorHAnsi" w:hAnsiTheme="majorHAnsi"/>
          <w:b/>
        </w:rPr>
      </w:pPr>
      <w:r>
        <w:rPr>
          <w:rFonts w:asciiTheme="majorHAnsi" w:hAnsiTheme="majorHAnsi"/>
          <w:b/>
        </w:rPr>
        <w:t>Strategic Plans</w:t>
      </w:r>
      <w:r>
        <w:rPr>
          <w:rStyle w:val="FootnoteReference"/>
          <w:b/>
        </w:rPr>
        <w:footnoteReference w:id="17"/>
      </w:r>
    </w:p>
    <w:p w14:paraId="7559AE8E" w14:textId="77777777" w:rsidR="00794BDC" w:rsidRDefault="00794BDC" w:rsidP="00794BDC">
      <w:pPr>
        <w:rPr>
          <w:rFonts w:asciiTheme="majorHAnsi" w:hAnsiTheme="majorHAnsi"/>
          <w:b/>
        </w:rPr>
      </w:pPr>
    </w:p>
    <w:p w14:paraId="0C8A6C42" w14:textId="77777777" w:rsidR="00794BDC" w:rsidRDefault="00794BDC" w:rsidP="00794BDC">
      <w:pPr>
        <w:rPr>
          <w:rFonts w:asciiTheme="majorHAnsi" w:hAnsiTheme="majorHAnsi"/>
        </w:rPr>
      </w:pPr>
      <w:r>
        <w:rPr>
          <w:rFonts w:asciiTheme="majorHAnsi" w:hAnsiTheme="majorHAnsi"/>
        </w:rPr>
        <w:t>Asia eHealth Information Network Strategic Plan: 2012-2017.</w:t>
      </w:r>
    </w:p>
    <w:p w14:paraId="3567DE65" w14:textId="77777777" w:rsidR="00794BDC" w:rsidRDefault="00794BDC" w:rsidP="00794BDC">
      <w:pPr>
        <w:rPr>
          <w:rFonts w:asciiTheme="majorHAnsi" w:hAnsiTheme="majorHAnsi"/>
        </w:rPr>
      </w:pPr>
    </w:p>
    <w:p w14:paraId="6CCB87EE" w14:textId="77777777" w:rsidR="00794BDC" w:rsidRDefault="00794BDC" w:rsidP="00794BDC">
      <w:pPr>
        <w:rPr>
          <w:rFonts w:asciiTheme="majorHAnsi" w:hAnsiTheme="majorHAnsi"/>
        </w:rPr>
      </w:pPr>
      <w:r>
        <w:rPr>
          <w:rFonts w:asciiTheme="majorHAnsi" w:hAnsiTheme="majorHAnsi"/>
        </w:rPr>
        <w:t>Asia eHealth Information Network Regional eHealth Strategic Plan: 2012-2017 Implementation Plan.</w:t>
      </w:r>
    </w:p>
    <w:p w14:paraId="572A9AFD" w14:textId="77777777" w:rsidR="00794BDC" w:rsidRDefault="00794BDC" w:rsidP="00794BDC">
      <w:pPr>
        <w:rPr>
          <w:rFonts w:asciiTheme="majorHAnsi" w:hAnsiTheme="majorHAnsi"/>
        </w:rPr>
      </w:pPr>
    </w:p>
    <w:p w14:paraId="1888BA8C" w14:textId="77777777" w:rsidR="00794BDC" w:rsidRDefault="00794BDC" w:rsidP="00794BDC">
      <w:pPr>
        <w:rPr>
          <w:rFonts w:asciiTheme="majorHAnsi" w:hAnsiTheme="majorHAnsi"/>
        </w:rPr>
      </w:pPr>
      <w:r>
        <w:rPr>
          <w:rFonts w:asciiTheme="majorHAnsi" w:hAnsiTheme="majorHAnsi"/>
        </w:rPr>
        <w:t>República de Angola Ministério de Saúde, Gabinete de Estudos, Planeamento e Estat</w:t>
      </w:r>
      <w:r w:rsidRPr="0068727D">
        <w:rPr>
          <w:rFonts w:asciiTheme="majorHAnsi" w:hAnsiTheme="majorHAnsi"/>
        </w:rPr>
        <w:t>í</w:t>
      </w:r>
      <w:r>
        <w:rPr>
          <w:rFonts w:asciiTheme="majorHAnsi" w:hAnsiTheme="majorHAnsi"/>
        </w:rPr>
        <w:t>stica: Plano Estrategico do Sistema de Informa</w:t>
      </w:r>
      <w:r w:rsidRPr="00D632BE">
        <w:rPr>
          <w:rFonts w:asciiTheme="majorHAnsi" w:hAnsiTheme="majorHAnsi"/>
          <w:bCs/>
          <w:color w:val="000000"/>
        </w:rPr>
        <w:t>ç</w:t>
      </w:r>
      <w:r w:rsidRPr="00D632BE">
        <w:rPr>
          <w:rFonts w:ascii="Cambria" w:hAnsi="Cambria"/>
          <w:bCs/>
          <w:color w:val="000000"/>
        </w:rPr>
        <w:t>ã</w:t>
      </w:r>
      <w:r w:rsidRPr="00D632BE">
        <w:rPr>
          <w:rFonts w:asciiTheme="majorHAnsi" w:hAnsiTheme="majorHAnsi"/>
        </w:rPr>
        <w:t>o</w:t>
      </w:r>
      <w:r>
        <w:rPr>
          <w:rFonts w:asciiTheme="majorHAnsi" w:hAnsiTheme="majorHAnsi"/>
        </w:rPr>
        <w:t xml:space="preserve"> Sanitáeria: 2011-2015.</w:t>
      </w:r>
    </w:p>
    <w:p w14:paraId="50695025" w14:textId="77777777" w:rsidR="00794BDC" w:rsidRPr="0068727D" w:rsidRDefault="00794BDC" w:rsidP="00794BDC">
      <w:pPr>
        <w:rPr>
          <w:rFonts w:asciiTheme="majorHAnsi" w:hAnsiTheme="majorHAnsi"/>
          <w:i/>
        </w:rPr>
      </w:pPr>
    </w:p>
    <w:p w14:paraId="733479A0" w14:textId="77777777" w:rsidR="00794BDC" w:rsidRDefault="00794BDC" w:rsidP="00794BDC">
      <w:pPr>
        <w:rPr>
          <w:rFonts w:asciiTheme="majorHAnsi" w:hAnsiTheme="majorHAnsi"/>
        </w:rPr>
      </w:pPr>
      <w:r>
        <w:rPr>
          <w:rFonts w:asciiTheme="majorHAnsi" w:hAnsiTheme="majorHAnsi"/>
        </w:rPr>
        <w:t>Brasília Ministério de Saúde, Secretaria Executiva, Departamento de Informa</w:t>
      </w:r>
      <w:r w:rsidRPr="00D632BE">
        <w:rPr>
          <w:rFonts w:asciiTheme="majorHAnsi" w:hAnsiTheme="majorHAnsi"/>
          <w:bCs/>
          <w:color w:val="000000"/>
        </w:rPr>
        <w:t>ç</w:t>
      </w:r>
      <w:r w:rsidRPr="00D632BE">
        <w:rPr>
          <w:rFonts w:ascii="Cambria" w:hAnsi="Cambria"/>
          <w:bCs/>
          <w:color w:val="000000"/>
        </w:rPr>
        <w:t>ã</w:t>
      </w:r>
      <w:r w:rsidRPr="00D632BE">
        <w:rPr>
          <w:rFonts w:asciiTheme="majorHAnsi" w:hAnsiTheme="majorHAnsi"/>
        </w:rPr>
        <w:t>o</w:t>
      </w:r>
      <w:r>
        <w:rPr>
          <w:rFonts w:asciiTheme="majorHAnsi" w:hAnsiTheme="majorHAnsi"/>
        </w:rPr>
        <w:t xml:space="preserve"> e Informática do SUS Política Nacional de Informa</w:t>
      </w:r>
      <w:r w:rsidRPr="00D632BE">
        <w:rPr>
          <w:rFonts w:asciiTheme="majorHAnsi" w:hAnsiTheme="majorHAnsi"/>
          <w:bCs/>
          <w:color w:val="000000"/>
        </w:rPr>
        <w:t>ç</w:t>
      </w:r>
      <w:r w:rsidRPr="00D632BE">
        <w:rPr>
          <w:rFonts w:ascii="Cambria" w:hAnsi="Cambria"/>
          <w:bCs/>
          <w:color w:val="000000"/>
        </w:rPr>
        <w:t>ã</w:t>
      </w:r>
      <w:r w:rsidRPr="00D632BE">
        <w:rPr>
          <w:rFonts w:asciiTheme="majorHAnsi" w:hAnsiTheme="majorHAnsi"/>
        </w:rPr>
        <w:t>o</w:t>
      </w:r>
      <w:r>
        <w:rPr>
          <w:rFonts w:asciiTheme="majorHAnsi" w:hAnsiTheme="majorHAnsi"/>
        </w:rPr>
        <w:t xml:space="preserve"> e Informática em Saúde 2004.</w:t>
      </w:r>
    </w:p>
    <w:p w14:paraId="3F2AD554" w14:textId="77777777" w:rsidR="00794BDC" w:rsidRDefault="00794BDC" w:rsidP="00794BDC">
      <w:pPr>
        <w:rPr>
          <w:rFonts w:asciiTheme="majorHAnsi" w:hAnsiTheme="majorHAnsi"/>
        </w:rPr>
      </w:pPr>
    </w:p>
    <w:p w14:paraId="6946C810" w14:textId="77777777" w:rsidR="00794BDC" w:rsidRDefault="00794BDC" w:rsidP="00794BDC">
      <w:pPr>
        <w:rPr>
          <w:rFonts w:asciiTheme="majorHAnsi" w:hAnsiTheme="majorHAnsi"/>
        </w:rPr>
      </w:pPr>
      <w:r>
        <w:rPr>
          <w:rFonts w:asciiTheme="majorHAnsi" w:hAnsiTheme="majorHAnsi"/>
        </w:rPr>
        <w:t>Agenda Digital del Ministerio de Salud, Gobierno de Chile 2006.</w:t>
      </w:r>
    </w:p>
    <w:p w14:paraId="5B75F1C4" w14:textId="77777777" w:rsidR="00794BDC" w:rsidRDefault="00794BDC" w:rsidP="00794BDC">
      <w:pPr>
        <w:rPr>
          <w:rFonts w:asciiTheme="majorHAnsi" w:hAnsiTheme="majorHAnsi"/>
        </w:rPr>
      </w:pPr>
    </w:p>
    <w:p w14:paraId="56C8D1E1" w14:textId="77777777" w:rsidR="00794BDC" w:rsidRDefault="00794BDC" w:rsidP="00794BDC">
      <w:pPr>
        <w:rPr>
          <w:rFonts w:asciiTheme="majorHAnsi" w:hAnsiTheme="majorHAnsi"/>
        </w:rPr>
      </w:pPr>
      <w:r>
        <w:rPr>
          <w:rFonts w:asciiTheme="majorHAnsi" w:hAnsiTheme="majorHAnsi"/>
        </w:rPr>
        <w:t>eHealth in Indonesia: Development Strategies. Presentation by Hari Kusnanto, Gadjah Mada University, Indonesia, Faculty of Medicine.</w:t>
      </w:r>
    </w:p>
    <w:p w14:paraId="7128913B" w14:textId="77777777" w:rsidR="00794BDC" w:rsidRDefault="00794BDC" w:rsidP="00794BDC">
      <w:pPr>
        <w:rPr>
          <w:rFonts w:asciiTheme="majorHAnsi" w:hAnsiTheme="majorHAnsi"/>
        </w:rPr>
      </w:pPr>
    </w:p>
    <w:p w14:paraId="3C58853C" w14:textId="77777777" w:rsidR="00794BDC" w:rsidRDefault="00794BDC" w:rsidP="00794BDC">
      <w:pPr>
        <w:rPr>
          <w:rFonts w:asciiTheme="majorHAnsi" w:hAnsiTheme="majorHAnsi"/>
        </w:rPr>
      </w:pPr>
      <w:r>
        <w:rPr>
          <w:rFonts w:asciiTheme="majorHAnsi" w:hAnsiTheme="majorHAnsi"/>
        </w:rPr>
        <w:t>Ghana National e-Health Strategy, 2011.</w:t>
      </w:r>
    </w:p>
    <w:p w14:paraId="2AFC31EE" w14:textId="77777777" w:rsidR="00794BDC" w:rsidRDefault="00794BDC" w:rsidP="00794BDC">
      <w:pPr>
        <w:rPr>
          <w:rFonts w:asciiTheme="majorHAnsi" w:hAnsiTheme="majorHAnsi"/>
        </w:rPr>
      </w:pPr>
    </w:p>
    <w:p w14:paraId="281436DA" w14:textId="77777777" w:rsidR="00794BDC" w:rsidRDefault="00794BDC" w:rsidP="00794BDC">
      <w:pPr>
        <w:rPr>
          <w:rFonts w:asciiTheme="majorHAnsi" w:hAnsiTheme="majorHAnsi"/>
        </w:rPr>
      </w:pPr>
      <w:r>
        <w:rPr>
          <w:rFonts w:asciiTheme="majorHAnsi" w:hAnsiTheme="majorHAnsi"/>
        </w:rPr>
        <w:t>Report of the Working Group on Health Informatics Including Telemedicine for Eleventh Five Year Plan (2007-2012). Government of India Planning Commission, August 2006.</w:t>
      </w:r>
    </w:p>
    <w:p w14:paraId="2A89164C" w14:textId="77777777" w:rsidR="00794BDC" w:rsidRDefault="00794BDC" w:rsidP="00794BDC">
      <w:pPr>
        <w:rPr>
          <w:rFonts w:asciiTheme="majorHAnsi" w:hAnsiTheme="majorHAnsi"/>
        </w:rPr>
      </w:pPr>
    </w:p>
    <w:p w14:paraId="682937ED" w14:textId="77777777" w:rsidR="00794BDC" w:rsidRDefault="00794BDC" w:rsidP="00794BDC">
      <w:pPr>
        <w:rPr>
          <w:rFonts w:asciiTheme="majorHAnsi" w:hAnsiTheme="majorHAnsi"/>
        </w:rPr>
      </w:pPr>
      <w:r>
        <w:rPr>
          <w:rFonts w:asciiTheme="majorHAnsi" w:hAnsiTheme="majorHAnsi"/>
        </w:rPr>
        <w:t>National Health Information System Strengthening and e-Health Strategic Plan: 2014-2018. Ministry of Health, Government of Jamaica, October 2013.</w:t>
      </w:r>
    </w:p>
    <w:p w14:paraId="10536288" w14:textId="77777777" w:rsidR="00794BDC" w:rsidRDefault="00794BDC" w:rsidP="00794BDC">
      <w:pPr>
        <w:rPr>
          <w:rFonts w:asciiTheme="majorHAnsi" w:hAnsiTheme="majorHAnsi"/>
        </w:rPr>
      </w:pPr>
    </w:p>
    <w:p w14:paraId="69F7B04E" w14:textId="77777777" w:rsidR="00794BDC" w:rsidRDefault="00794BDC" w:rsidP="00794BDC">
      <w:pPr>
        <w:rPr>
          <w:rFonts w:asciiTheme="majorHAnsi" w:hAnsiTheme="majorHAnsi"/>
        </w:rPr>
      </w:pPr>
      <w:r>
        <w:rPr>
          <w:rFonts w:asciiTheme="majorHAnsi" w:hAnsiTheme="majorHAnsi"/>
        </w:rPr>
        <w:t>Kenya National e-Health Strategy: 2011-2017. Ministry of Medical Services, Ministry of Public Health &amp; Sanitation, April 2011.</w:t>
      </w:r>
    </w:p>
    <w:p w14:paraId="5E338351" w14:textId="77777777" w:rsidR="00794BDC" w:rsidRDefault="00794BDC" w:rsidP="00794BDC">
      <w:pPr>
        <w:rPr>
          <w:rFonts w:asciiTheme="majorHAnsi" w:hAnsiTheme="majorHAnsi"/>
        </w:rPr>
      </w:pPr>
    </w:p>
    <w:p w14:paraId="7941923D" w14:textId="77777777" w:rsidR="00794BDC" w:rsidRDefault="00794BDC" w:rsidP="00794BDC">
      <w:pPr>
        <w:rPr>
          <w:rFonts w:asciiTheme="majorHAnsi" w:hAnsiTheme="majorHAnsi"/>
        </w:rPr>
      </w:pPr>
      <w:r>
        <w:rPr>
          <w:rFonts w:asciiTheme="majorHAnsi" w:hAnsiTheme="majorHAnsi"/>
        </w:rPr>
        <w:t>The Malawi National eHealth Strategy: 2011-2016. April 2014.</w:t>
      </w:r>
    </w:p>
    <w:p w14:paraId="639429DD" w14:textId="77777777" w:rsidR="00794BDC" w:rsidRDefault="00794BDC" w:rsidP="00794BDC">
      <w:pPr>
        <w:rPr>
          <w:rFonts w:asciiTheme="majorHAnsi" w:hAnsiTheme="majorHAnsi"/>
        </w:rPr>
      </w:pPr>
    </w:p>
    <w:p w14:paraId="4616FF4B" w14:textId="77777777" w:rsidR="00794BDC" w:rsidRDefault="00794BDC" w:rsidP="00794BDC">
      <w:pPr>
        <w:rPr>
          <w:rFonts w:asciiTheme="majorHAnsi" w:hAnsiTheme="majorHAnsi"/>
        </w:rPr>
      </w:pPr>
      <w:r>
        <w:rPr>
          <w:rFonts w:asciiTheme="majorHAnsi" w:hAnsiTheme="majorHAnsi"/>
        </w:rPr>
        <w:t>The United States Global Health Initiative: Mozambique Strategy, 2011-2015.</w:t>
      </w:r>
    </w:p>
    <w:p w14:paraId="7B4CAB52" w14:textId="77777777" w:rsidR="00794BDC" w:rsidRDefault="00794BDC" w:rsidP="00794BDC">
      <w:pPr>
        <w:rPr>
          <w:rFonts w:asciiTheme="majorHAnsi" w:hAnsiTheme="majorHAnsi"/>
        </w:rPr>
      </w:pPr>
    </w:p>
    <w:p w14:paraId="47556924" w14:textId="77777777" w:rsidR="00794BDC" w:rsidRDefault="00794BDC" w:rsidP="00794BDC">
      <w:pPr>
        <w:rPr>
          <w:rFonts w:asciiTheme="majorHAnsi" w:hAnsiTheme="majorHAnsi"/>
        </w:rPr>
      </w:pPr>
      <w:r>
        <w:rPr>
          <w:rFonts w:asciiTheme="majorHAnsi" w:hAnsiTheme="majorHAnsi"/>
        </w:rPr>
        <w:t>[New Zealand] National Health IT Plan Update 2013/14. Ministry of Health, November 2013.</w:t>
      </w:r>
    </w:p>
    <w:p w14:paraId="32AF69C3" w14:textId="77777777" w:rsidR="00794BDC" w:rsidRDefault="00794BDC" w:rsidP="00794BDC">
      <w:pPr>
        <w:rPr>
          <w:rFonts w:asciiTheme="majorHAnsi" w:hAnsiTheme="majorHAnsi"/>
        </w:rPr>
      </w:pPr>
    </w:p>
    <w:p w14:paraId="0E7935F5" w14:textId="77777777" w:rsidR="00794BDC" w:rsidRDefault="00794BDC" w:rsidP="00794BDC">
      <w:pPr>
        <w:rPr>
          <w:rFonts w:asciiTheme="majorHAnsi" w:hAnsiTheme="majorHAnsi"/>
        </w:rPr>
      </w:pPr>
      <w:r>
        <w:rPr>
          <w:rFonts w:asciiTheme="majorHAnsi" w:hAnsiTheme="majorHAnsi"/>
        </w:rPr>
        <w:t>[DRAFT – Nigeria] National Health ICT Strategic Framework, 2015-2020.</w:t>
      </w:r>
    </w:p>
    <w:p w14:paraId="5B17C2DB" w14:textId="77777777" w:rsidR="00794BDC" w:rsidRDefault="00794BDC" w:rsidP="00794BDC">
      <w:pPr>
        <w:rPr>
          <w:rFonts w:asciiTheme="majorHAnsi" w:hAnsiTheme="majorHAnsi"/>
        </w:rPr>
      </w:pPr>
    </w:p>
    <w:p w14:paraId="399B3702" w14:textId="77777777" w:rsidR="00794BDC" w:rsidRDefault="00794BDC" w:rsidP="00794BDC">
      <w:pPr>
        <w:rPr>
          <w:rFonts w:asciiTheme="majorHAnsi" w:hAnsiTheme="majorHAnsi"/>
        </w:rPr>
      </w:pPr>
      <w:r>
        <w:rPr>
          <w:rFonts w:asciiTheme="majorHAnsi" w:hAnsiTheme="majorHAnsi"/>
        </w:rPr>
        <w:t>Pan American Health Organization Strategy and Plan of Action on eHealth. 26-30 September 2011.</w:t>
      </w:r>
    </w:p>
    <w:p w14:paraId="129A0D57" w14:textId="77777777" w:rsidR="00794BDC" w:rsidRDefault="00794BDC" w:rsidP="00794BDC">
      <w:pPr>
        <w:rPr>
          <w:rFonts w:asciiTheme="majorHAnsi" w:hAnsiTheme="majorHAnsi"/>
        </w:rPr>
      </w:pPr>
    </w:p>
    <w:p w14:paraId="3AFE6C44" w14:textId="77777777" w:rsidR="00794BDC" w:rsidRDefault="00794BDC" w:rsidP="00794BDC">
      <w:pPr>
        <w:rPr>
          <w:rFonts w:asciiTheme="majorHAnsi" w:hAnsiTheme="majorHAnsi"/>
        </w:rPr>
      </w:pPr>
      <w:r>
        <w:rPr>
          <w:rFonts w:asciiTheme="majorHAnsi" w:hAnsiTheme="majorHAnsi"/>
        </w:rPr>
        <w:t>A Primer on the Philippine eHealth Strategic Framework and Plan. Presentation from National eHealth Governance, DOH-DOST.</w:t>
      </w:r>
    </w:p>
    <w:p w14:paraId="4D8C463E" w14:textId="77777777" w:rsidR="00794BDC" w:rsidRDefault="00794BDC" w:rsidP="00794BDC">
      <w:pPr>
        <w:rPr>
          <w:rFonts w:asciiTheme="majorHAnsi" w:hAnsiTheme="majorHAnsi"/>
        </w:rPr>
      </w:pPr>
    </w:p>
    <w:p w14:paraId="196F94B0" w14:textId="77777777" w:rsidR="00794BDC" w:rsidRDefault="00794BDC" w:rsidP="00794BDC">
      <w:pPr>
        <w:rPr>
          <w:rFonts w:asciiTheme="majorHAnsi" w:hAnsiTheme="majorHAnsi"/>
        </w:rPr>
      </w:pPr>
      <w:r>
        <w:rPr>
          <w:rFonts w:asciiTheme="majorHAnsi" w:hAnsiTheme="majorHAnsi"/>
        </w:rPr>
        <w:t>Philippines eHealth Strategic Framework and Plan, 2014-2020. Department of Health, Department of Science and Technology, Philippines, April 15, 2014.</w:t>
      </w:r>
    </w:p>
    <w:p w14:paraId="68A7E772" w14:textId="77777777" w:rsidR="00794BDC" w:rsidRDefault="00794BDC" w:rsidP="00794BDC">
      <w:pPr>
        <w:rPr>
          <w:rFonts w:asciiTheme="majorHAnsi" w:hAnsiTheme="majorHAnsi"/>
        </w:rPr>
      </w:pPr>
    </w:p>
    <w:p w14:paraId="0C66F382" w14:textId="77777777" w:rsidR="00794BDC" w:rsidRDefault="00794BDC" w:rsidP="00794BDC">
      <w:pPr>
        <w:rPr>
          <w:rFonts w:asciiTheme="majorHAnsi" w:hAnsiTheme="majorHAnsi"/>
        </w:rPr>
      </w:pPr>
      <w:r>
        <w:rPr>
          <w:rFonts w:asciiTheme="majorHAnsi" w:hAnsiTheme="majorHAnsi"/>
        </w:rPr>
        <w:t>Rwanda National e-Health Strategic Plan, 2009-2013. Richard Gakuba, MD, MSc, National e-Health Coordinator, Ministry of Health, June 2009.</w:t>
      </w:r>
    </w:p>
    <w:p w14:paraId="649875B3" w14:textId="77777777" w:rsidR="00794BDC" w:rsidRDefault="00794BDC" w:rsidP="00794BDC">
      <w:pPr>
        <w:rPr>
          <w:rFonts w:asciiTheme="majorHAnsi" w:hAnsiTheme="majorHAnsi"/>
        </w:rPr>
      </w:pPr>
    </w:p>
    <w:p w14:paraId="47E84C10" w14:textId="77777777" w:rsidR="00794BDC" w:rsidRDefault="00794BDC" w:rsidP="00794BDC">
      <w:pPr>
        <w:rPr>
          <w:rFonts w:asciiTheme="majorHAnsi" w:hAnsiTheme="majorHAnsi"/>
        </w:rPr>
      </w:pPr>
      <w:r>
        <w:rPr>
          <w:rFonts w:asciiTheme="majorHAnsi" w:hAnsiTheme="majorHAnsi"/>
        </w:rPr>
        <w:t>Saudi Arabia eHealth Strategy, 2011-2016.</w:t>
      </w:r>
    </w:p>
    <w:p w14:paraId="35BADB34" w14:textId="77777777" w:rsidR="00794BDC" w:rsidRDefault="00794BDC" w:rsidP="00794BDC">
      <w:pPr>
        <w:rPr>
          <w:rFonts w:asciiTheme="majorHAnsi" w:hAnsiTheme="majorHAnsi"/>
        </w:rPr>
      </w:pPr>
    </w:p>
    <w:p w14:paraId="5C78281D" w14:textId="77777777" w:rsidR="00794BDC" w:rsidRDefault="00794BDC" w:rsidP="00794BDC">
      <w:pPr>
        <w:rPr>
          <w:rFonts w:asciiTheme="majorHAnsi" w:hAnsiTheme="majorHAnsi"/>
        </w:rPr>
      </w:pPr>
      <w:r>
        <w:rPr>
          <w:rFonts w:asciiTheme="majorHAnsi" w:hAnsiTheme="majorHAnsi"/>
        </w:rPr>
        <w:t>eHealth Strategy South Africa, 2012-2017. Department of Health, Republic of South Africa.</w:t>
      </w:r>
    </w:p>
    <w:p w14:paraId="08A7D2A8" w14:textId="77777777" w:rsidR="00794BDC" w:rsidRDefault="00794BDC" w:rsidP="00794BDC">
      <w:pPr>
        <w:rPr>
          <w:rFonts w:asciiTheme="majorHAnsi" w:hAnsiTheme="majorHAnsi"/>
        </w:rPr>
      </w:pPr>
    </w:p>
    <w:p w14:paraId="29491CA6" w14:textId="77777777" w:rsidR="00794BDC" w:rsidRDefault="00794BDC" w:rsidP="00794BDC">
      <w:pPr>
        <w:rPr>
          <w:rFonts w:asciiTheme="majorHAnsi" w:hAnsiTheme="majorHAnsi"/>
        </w:rPr>
      </w:pPr>
      <w:r>
        <w:rPr>
          <w:rFonts w:asciiTheme="majorHAnsi" w:hAnsiTheme="majorHAnsi"/>
        </w:rPr>
        <w:t>Tanzania National eHealth Strategy, 2012-2018. The United Republic of Tanzania, Ministry of Health and Social Welfare.</w:t>
      </w:r>
    </w:p>
    <w:p w14:paraId="74DCC6D2" w14:textId="77777777" w:rsidR="00794BDC" w:rsidRDefault="00794BDC" w:rsidP="00794BDC">
      <w:pPr>
        <w:rPr>
          <w:rFonts w:asciiTheme="majorHAnsi" w:hAnsiTheme="majorHAnsi"/>
        </w:rPr>
      </w:pPr>
    </w:p>
    <w:p w14:paraId="54C4612C" w14:textId="77777777" w:rsidR="00794BDC" w:rsidRDefault="00794BDC" w:rsidP="00794BDC">
      <w:pPr>
        <w:rPr>
          <w:rFonts w:asciiTheme="majorHAnsi" w:hAnsiTheme="majorHAnsi"/>
        </w:rPr>
      </w:pPr>
      <w:r>
        <w:rPr>
          <w:rFonts w:asciiTheme="majorHAnsi" w:hAnsiTheme="majorHAnsi"/>
        </w:rPr>
        <w:t>Uganda National eHealth Policy, April 2013. Developed by Dr. Catherine Omaswa.</w:t>
      </w:r>
    </w:p>
    <w:p w14:paraId="0CD0AAA2" w14:textId="77777777" w:rsidR="00794BDC" w:rsidRDefault="00794BDC" w:rsidP="00794BDC">
      <w:pPr>
        <w:rPr>
          <w:rFonts w:asciiTheme="majorHAnsi" w:hAnsiTheme="majorHAnsi"/>
        </w:rPr>
      </w:pPr>
    </w:p>
    <w:p w14:paraId="3C2EAD91" w14:textId="77777777" w:rsidR="00794BDC" w:rsidRDefault="00794BDC" w:rsidP="00794BDC">
      <w:pPr>
        <w:rPr>
          <w:rFonts w:asciiTheme="majorHAnsi" w:hAnsiTheme="majorHAnsi"/>
        </w:rPr>
      </w:pPr>
      <w:r>
        <w:rPr>
          <w:rFonts w:asciiTheme="majorHAnsi" w:hAnsiTheme="majorHAnsi"/>
        </w:rPr>
        <w:t>[United States] Federal Health IT Strategic Plan, 2015-2020. The Office of the National Coordinator for Health Information Technology, Office of the Secretary, United States Department of Health and Human Services.</w:t>
      </w:r>
    </w:p>
    <w:p w14:paraId="65C56DAA" w14:textId="77777777" w:rsidR="00794BDC" w:rsidRDefault="00794BDC" w:rsidP="00794BDC">
      <w:pPr>
        <w:rPr>
          <w:rFonts w:asciiTheme="majorHAnsi" w:hAnsiTheme="majorHAnsi"/>
        </w:rPr>
      </w:pPr>
    </w:p>
    <w:p w14:paraId="620CF25D" w14:textId="77777777" w:rsidR="00794BDC" w:rsidRDefault="00794BDC" w:rsidP="00794BDC">
      <w:pPr>
        <w:rPr>
          <w:rFonts w:asciiTheme="majorHAnsi" w:hAnsiTheme="majorHAnsi"/>
        </w:rPr>
      </w:pPr>
      <w:r>
        <w:rPr>
          <w:rFonts w:asciiTheme="majorHAnsi" w:hAnsiTheme="majorHAnsi"/>
        </w:rPr>
        <w:t>[United States] Connecting Health and Care for the Nation: A Shared Nationwide Interoperability Roadmap, Version 1.0. The Office of the National Coordinator for Health Information Technology.</w:t>
      </w:r>
    </w:p>
    <w:p w14:paraId="25BAD14C" w14:textId="77777777" w:rsidR="00794BDC" w:rsidRDefault="00794BDC" w:rsidP="00794BDC">
      <w:pPr>
        <w:rPr>
          <w:rFonts w:asciiTheme="majorHAnsi" w:hAnsiTheme="majorHAnsi"/>
        </w:rPr>
      </w:pPr>
    </w:p>
    <w:p w14:paraId="0AFC1F96" w14:textId="77777777" w:rsidR="00794BDC" w:rsidRDefault="00794BDC" w:rsidP="00794BDC">
      <w:pPr>
        <w:rPr>
          <w:rFonts w:asciiTheme="majorHAnsi" w:hAnsiTheme="majorHAnsi"/>
        </w:rPr>
      </w:pPr>
      <w:r>
        <w:rPr>
          <w:rFonts w:asciiTheme="majorHAnsi" w:hAnsiTheme="majorHAnsi"/>
        </w:rPr>
        <w:t>[United States] Connecting Health and Care for the Nation: A Shared Nationwide Interoperability Roadmap version 1.0. Calls to Action and Commitments for People and Organizations that Govern, Certify, and/or Have Oversight, 2015-2017.</w:t>
      </w:r>
    </w:p>
    <w:p w14:paraId="05548235" w14:textId="77777777" w:rsidR="00794BDC" w:rsidRDefault="00794BDC" w:rsidP="00794BDC">
      <w:pPr>
        <w:rPr>
          <w:rFonts w:asciiTheme="majorHAnsi" w:hAnsiTheme="majorHAnsi"/>
        </w:rPr>
      </w:pPr>
    </w:p>
    <w:p w14:paraId="1613CE06" w14:textId="77777777" w:rsidR="00794BDC" w:rsidRPr="006E20F0" w:rsidRDefault="00794BDC" w:rsidP="00794BDC">
      <w:pPr>
        <w:rPr>
          <w:rFonts w:asciiTheme="majorHAnsi" w:hAnsiTheme="majorHAnsi"/>
        </w:rPr>
      </w:pPr>
      <w:r>
        <w:rPr>
          <w:rFonts w:asciiTheme="majorHAnsi" w:hAnsiTheme="majorHAnsi"/>
        </w:rPr>
        <w:t>[DRAFT] Zimbabwe’s e-Health Strategy, 2012-2017. Ministry of Health and Child Welfare.</w:t>
      </w:r>
    </w:p>
    <w:p w14:paraId="10D37A73" w14:textId="77777777" w:rsidR="00794BDC" w:rsidRDefault="00794BDC" w:rsidP="00794BDC">
      <w:pPr>
        <w:rPr>
          <w:rFonts w:asciiTheme="majorHAnsi" w:hAnsiTheme="majorHAnsi"/>
        </w:rPr>
      </w:pPr>
    </w:p>
    <w:p w14:paraId="1C0D3F15" w14:textId="77777777" w:rsidR="00794BDC" w:rsidRPr="00475FA0" w:rsidRDefault="00794BDC" w:rsidP="00794BDC">
      <w:pPr>
        <w:rPr>
          <w:rFonts w:asciiTheme="majorHAnsi" w:hAnsiTheme="majorHAnsi"/>
        </w:rPr>
      </w:pPr>
    </w:p>
    <w:p w14:paraId="4339D009" w14:textId="77777777" w:rsidR="00794BDC" w:rsidRDefault="00794BDC" w:rsidP="00794BDC">
      <w:pPr>
        <w:rPr>
          <w:rFonts w:asciiTheme="majorHAnsi" w:hAnsiTheme="majorHAnsi"/>
          <w:b/>
        </w:rPr>
      </w:pPr>
      <w:r>
        <w:rPr>
          <w:rFonts w:asciiTheme="majorHAnsi" w:hAnsiTheme="majorHAnsi"/>
          <w:b/>
        </w:rPr>
        <w:t>Additional Policies and Procedures</w:t>
      </w:r>
    </w:p>
    <w:p w14:paraId="1BEEC715" w14:textId="77777777" w:rsidR="00794BDC" w:rsidRDefault="00794BDC" w:rsidP="00794BDC">
      <w:pPr>
        <w:rPr>
          <w:rFonts w:asciiTheme="majorHAnsi" w:hAnsiTheme="majorHAnsi"/>
          <w:b/>
        </w:rPr>
      </w:pPr>
    </w:p>
    <w:p w14:paraId="325833FE" w14:textId="77777777" w:rsidR="00794BDC" w:rsidRDefault="00794BDC" w:rsidP="00794BDC">
      <w:pPr>
        <w:rPr>
          <w:rFonts w:asciiTheme="majorHAnsi" w:hAnsiTheme="majorHAnsi"/>
        </w:rPr>
      </w:pPr>
      <w:r>
        <w:rPr>
          <w:rFonts w:asciiTheme="majorHAnsi" w:hAnsiTheme="majorHAnsi"/>
        </w:rPr>
        <w:t>[European Union] JA D1.2 Governance Manual. eHealth Governance Initiative, 2011.</w:t>
      </w:r>
    </w:p>
    <w:p w14:paraId="7CCF560F" w14:textId="77777777" w:rsidR="00794BDC" w:rsidRDefault="00794BDC" w:rsidP="00794BDC">
      <w:pPr>
        <w:rPr>
          <w:rFonts w:asciiTheme="majorHAnsi" w:hAnsiTheme="majorHAnsi"/>
        </w:rPr>
      </w:pPr>
    </w:p>
    <w:p w14:paraId="392585E5" w14:textId="77777777" w:rsidR="00794BDC" w:rsidRDefault="00794BDC" w:rsidP="00794BDC">
      <w:pPr>
        <w:rPr>
          <w:rFonts w:asciiTheme="majorHAnsi" w:hAnsiTheme="majorHAnsi"/>
        </w:rPr>
      </w:pPr>
      <w:r>
        <w:rPr>
          <w:rFonts w:asciiTheme="majorHAnsi" w:hAnsiTheme="majorHAnsi"/>
        </w:rPr>
        <w:t>[European Union] JA D6.1 Global Briefing Document. eHealth Governance Initiative, 2012.</w:t>
      </w:r>
    </w:p>
    <w:p w14:paraId="6F8E7330" w14:textId="77777777" w:rsidR="00794BDC" w:rsidRDefault="00794BDC" w:rsidP="00794BDC">
      <w:pPr>
        <w:rPr>
          <w:rFonts w:asciiTheme="majorHAnsi" w:hAnsiTheme="majorHAnsi"/>
        </w:rPr>
      </w:pPr>
    </w:p>
    <w:p w14:paraId="46E5DFD7" w14:textId="77777777" w:rsidR="00794BDC" w:rsidRDefault="00794BDC" w:rsidP="00794BDC">
      <w:pPr>
        <w:rPr>
          <w:rFonts w:asciiTheme="majorHAnsi" w:hAnsiTheme="majorHAnsi"/>
        </w:rPr>
      </w:pPr>
      <w:r>
        <w:rPr>
          <w:rFonts w:asciiTheme="majorHAnsi" w:hAnsiTheme="majorHAnsi"/>
        </w:rPr>
        <w:t>Directive 2011/24/EU of the European Parliament and of the Council of 9 March 2011 on the application of patients’ rights in cross-border healthcare. Official Journal of the European Union.</w:t>
      </w:r>
    </w:p>
    <w:p w14:paraId="7BC9080E" w14:textId="77777777" w:rsidR="00794BDC" w:rsidRDefault="00794BDC" w:rsidP="00794BDC">
      <w:pPr>
        <w:rPr>
          <w:rFonts w:asciiTheme="majorHAnsi" w:hAnsiTheme="majorHAnsi"/>
        </w:rPr>
      </w:pPr>
    </w:p>
    <w:p w14:paraId="6A46EFD4" w14:textId="77777777" w:rsidR="00794BDC" w:rsidRDefault="00794BDC" w:rsidP="00794BDC">
      <w:pPr>
        <w:rPr>
          <w:rFonts w:asciiTheme="majorHAnsi" w:hAnsiTheme="majorHAnsi"/>
        </w:rPr>
      </w:pPr>
      <w:r>
        <w:rPr>
          <w:rFonts w:asciiTheme="majorHAnsi" w:hAnsiTheme="majorHAnsi"/>
        </w:rPr>
        <w:t>[European Union] D8.1 Technical background of eID solutions. eHealth Governance Initiative, 2012.</w:t>
      </w:r>
    </w:p>
    <w:p w14:paraId="3E6B83B0" w14:textId="77777777" w:rsidR="00794BDC" w:rsidRDefault="00794BDC" w:rsidP="00794BDC">
      <w:pPr>
        <w:rPr>
          <w:rFonts w:asciiTheme="majorHAnsi" w:hAnsiTheme="majorHAnsi"/>
        </w:rPr>
      </w:pPr>
    </w:p>
    <w:p w14:paraId="3DA7D174" w14:textId="77777777" w:rsidR="00794BDC" w:rsidRDefault="00794BDC" w:rsidP="00794BDC">
      <w:pPr>
        <w:rPr>
          <w:rFonts w:asciiTheme="majorHAnsi" w:hAnsiTheme="majorHAnsi"/>
        </w:rPr>
      </w:pPr>
      <w:r>
        <w:rPr>
          <w:rFonts w:asciiTheme="majorHAnsi" w:hAnsiTheme="majorHAnsi"/>
        </w:rPr>
        <w:t>[European Union] D4.1.a. LPPD Contribution to the eU Roadmap: Towards a European eID Governance for eHealth. eHealth Governance Initiative, 2011.</w:t>
      </w:r>
    </w:p>
    <w:p w14:paraId="6A1B12CC" w14:textId="77777777" w:rsidR="00794BDC" w:rsidRDefault="00794BDC" w:rsidP="00794BDC">
      <w:pPr>
        <w:rPr>
          <w:rFonts w:asciiTheme="majorHAnsi" w:hAnsiTheme="majorHAnsi"/>
        </w:rPr>
      </w:pPr>
    </w:p>
    <w:p w14:paraId="2BAD1D23" w14:textId="77777777" w:rsidR="00794BDC" w:rsidRDefault="00794BDC" w:rsidP="00794BDC">
      <w:pPr>
        <w:rPr>
          <w:rFonts w:asciiTheme="majorHAnsi" w:hAnsiTheme="majorHAnsi"/>
        </w:rPr>
      </w:pPr>
      <w:r>
        <w:rPr>
          <w:rFonts w:asciiTheme="majorHAnsi" w:hAnsiTheme="majorHAnsi"/>
        </w:rPr>
        <w:t>Standards and Guidelines for Electronic Laboratory Information Systems in Kenya. Kenya Ministry of Health, 2014.</w:t>
      </w:r>
    </w:p>
    <w:p w14:paraId="2B439950" w14:textId="77777777" w:rsidR="00794BDC" w:rsidRDefault="00794BDC" w:rsidP="00794BDC">
      <w:pPr>
        <w:rPr>
          <w:rFonts w:asciiTheme="majorHAnsi" w:hAnsiTheme="majorHAnsi"/>
        </w:rPr>
      </w:pPr>
    </w:p>
    <w:p w14:paraId="5B5D647B" w14:textId="77777777" w:rsidR="00794BDC" w:rsidRDefault="00794BDC" w:rsidP="00794BDC">
      <w:pPr>
        <w:rPr>
          <w:rFonts w:asciiTheme="majorHAnsi" w:hAnsiTheme="majorHAnsi"/>
        </w:rPr>
      </w:pPr>
      <w:r>
        <w:rPr>
          <w:rFonts w:asciiTheme="majorHAnsi" w:hAnsiTheme="majorHAnsi"/>
        </w:rPr>
        <w:t>Standards and Guidelines for Electronic Medical Record Systems in Kenya. Kenya Ministry of Medical Services and Ministry of Public Health and Sanitation.</w:t>
      </w:r>
    </w:p>
    <w:p w14:paraId="28E4BB65" w14:textId="77777777" w:rsidR="00794BDC" w:rsidRDefault="00794BDC" w:rsidP="00794BDC">
      <w:pPr>
        <w:rPr>
          <w:rFonts w:asciiTheme="majorHAnsi" w:hAnsiTheme="majorHAnsi"/>
        </w:rPr>
      </w:pPr>
    </w:p>
    <w:p w14:paraId="69F5DD11" w14:textId="77777777" w:rsidR="00794BDC" w:rsidRDefault="00794BDC" w:rsidP="00794BDC">
      <w:pPr>
        <w:rPr>
          <w:rFonts w:asciiTheme="majorHAnsi" w:hAnsiTheme="majorHAnsi"/>
        </w:rPr>
      </w:pPr>
      <w:r>
        <w:rPr>
          <w:rFonts w:asciiTheme="majorHAnsi" w:hAnsiTheme="majorHAnsi"/>
        </w:rPr>
        <w:t>Standards and Guidelines for Primary Health Care Electronic Medical Record Systems in Kenya. Kenya Ministry of Health, 2014.</w:t>
      </w:r>
    </w:p>
    <w:p w14:paraId="182ECB0A" w14:textId="77777777" w:rsidR="00794BDC" w:rsidRDefault="00794BDC" w:rsidP="00794BDC">
      <w:pPr>
        <w:rPr>
          <w:rFonts w:asciiTheme="majorHAnsi" w:hAnsiTheme="majorHAnsi"/>
        </w:rPr>
      </w:pPr>
    </w:p>
    <w:p w14:paraId="56300DC2" w14:textId="77777777" w:rsidR="00794BDC" w:rsidRDefault="00794BDC" w:rsidP="00794BDC">
      <w:pPr>
        <w:rPr>
          <w:rFonts w:asciiTheme="majorHAnsi" w:hAnsiTheme="majorHAnsi"/>
        </w:rPr>
      </w:pPr>
      <w:r>
        <w:rPr>
          <w:rFonts w:asciiTheme="majorHAnsi" w:hAnsiTheme="majorHAnsi"/>
        </w:rPr>
        <w:t>Standards and Guidelines for Electronic Pharmacy Information Systems in Kenya. Kenya Ministry of Health, 2014.</w:t>
      </w:r>
    </w:p>
    <w:p w14:paraId="0C8C9E20" w14:textId="77777777" w:rsidR="00794BDC" w:rsidRDefault="00794BDC" w:rsidP="00794BDC">
      <w:pPr>
        <w:rPr>
          <w:rFonts w:asciiTheme="majorHAnsi" w:hAnsiTheme="majorHAnsi"/>
        </w:rPr>
      </w:pPr>
    </w:p>
    <w:p w14:paraId="099AF284" w14:textId="77777777" w:rsidR="00794BDC" w:rsidRDefault="00794BDC" w:rsidP="00794BDC">
      <w:pPr>
        <w:rPr>
          <w:rFonts w:asciiTheme="majorHAnsi" w:hAnsiTheme="majorHAnsi"/>
        </w:rPr>
      </w:pPr>
      <w:r>
        <w:rPr>
          <w:rFonts w:asciiTheme="majorHAnsi" w:hAnsiTheme="majorHAnsi"/>
        </w:rPr>
        <w:t>Malawi National Health Information System Policy. Malawi Ministry of Health, October 2015.</w:t>
      </w:r>
    </w:p>
    <w:p w14:paraId="185670F8" w14:textId="77777777" w:rsidR="00794BDC" w:rsidRDefault="00794BDC" w:rsidP="00794BDC">
      <w:pPr>
        <w:rPr>
          <w:rFonts w:asciiTheme="majorHAnsi" w:hAnsiTheme="majorHAnsi"/>
        </w:rPr>
      </w:pPr>
    </w:p>
    <w:p w14:paraId="4738AAB7" w14:textId="77777777" w:rsidR="00794BDC" w:rsidRDefault="00794BDC" w:rsidP="00794BDC">
      <w:pPr>
        <w:rPr>
          <w:rFonts w:asciiTheme="majorHAnsi" w:hAnsiTheme="majorHAnsi"/>
        </w:rPr>
      </w:pPr>
      <w:r w:rsidRPr="006E20F0">
        <w:rPr>
          <w:rFonts w:asciiTheme="majorHAnsi" w:hAnsiTheme="majorHAnsi"/>
        </w:rPr>
        <w:t>Joint</w:t>
      </w:r>
      <w:r>
        <w:rPr>
          <w:rFonts w:asciiTheme="majorHAnsi" w:hAnsiTheme="majorHAnsi"/>
        </w:rPr>
        <w:t xml:space="preserve"> Administrative Order No. 2016-0001. Implementation of the Philippine Health Information Exchange. Department of Health, Department of Science and Technology, Philippine Health Insurance Corporation.</w:t>
      </w:r>
    </w:p>
    <w:p w14:paraId="63FA1967" w14:textId="77777777" w:rsidR="00794BDC" w:rsidRDefault="00794BDC" w:rsidP="00794BDC">
      <w:pPr>
        <w:rPr>
          <w:rFonts w:asciiTheme="majorHAnsi" w:hAnsiTheme="majorHAnsi"/>
        </w:rPr>
      </w:pPr>
    </w:p>
    <w:p w14:paraId="0CAD65FA" w14:textId="77777777" w:rsidR="00794BDC" w:rsidRDefault="00794BDC" w:rsidP="00794BDC">
      <w:pPr>
        <w:rPr>
          <w:rFonts w:asciiTheme="majorHAnsi" w:hAnsiTheme="majorHAnsi"/>
        </w:rPr>
      </w:pPr>
      <w:r>
        <w:rPr>
          <w:rFonts w:asciiTheme="majorHAnsi" w:hAnsiTheme="majorHAnsi"/>
        </w:rPr>
        <w:t>Joint Administrative Order No. 2016-0002. Privacy Guidelines for the Implementation of the Philippine Health Information Exchange. Department of Health, Department of Science and Technology, Philippine Health Insurance Corporation.</w:t>
      </w:r>
    </w:p>
    <w:p w14:paraId="732DEE53" w14:textId="77777777" w:rsidR="00794BDC" w:rsidRDefault="00794BDC" w:rsidP="00794BDC">
      <w:pPr>
        <w:rPr>
          <w:rFonts w:asciiTheme="majorHAnsi" w:hAnsiTheme="majorHAnsi"/>
        </w:rPr>
      </w:pPr>
    </w:p>
    <w:p w14:paraId="441CE36F" w14:textId="77777777" w:rsidR="00794BDC" w:rsidRDefault="00794BDC" w:rsidP="00794BDC">
      <w:pPr>
        <w:rPr>
          <w:rFonts w:asciiTheme="majorHAnsi" w:hAnsiTheme="majorHAnsi"/>
        </w:rPr>
      </w:pPr>
      <w:r>
        <w:rPr>
          <w:rFonts w:asciiTheme="majorHAnsi" w:hAnsiTheme="majorHAnsi"/>
        </w:rPr>
        <w:t>Health Sector Data Sharing and Confidentiality Policy for Institutional Data Version 1.1. Ministry of Health, Rwanda. Data Management Policies and Guidelines. 22 February 2012.</w:t>
      </w:r>
    </w:p>
    <w:p w14:paraId="234DE7C7" w14:textId="77777777" w:rsidR="00794BDC" w:rsidRDefault="00794BDC" w:rsidP="00794BDC">
      <w:pPr>
        <w:rPr>
          <w:rFonts w:asciiTheme="majorHAnsi" w:hAnsiTheme="majorHAnsi"/>
        </w:rPr>
      </w:pPr>
    </w:p>
    <w:p w14:paraId="7EC17795" w14:textId="77777777" w:rsidR="00794BDC" w:rsidRDefault="00794BDC" w:rsidP="00794BDC">
      <w:pPr>
        <w:rPr>
          <w:rFonts w:asciiTheme="majorHAnsi" w:hAnsiTheme="majorHAnsi"/>
        </w:rPr>
      </w:pPr>
      <w:r>
        <w:rPr>
          <w:rFonts w:asciiTheme="majorHAnsi" w:hAnsiTheme="majorHAnsi"/>
        </w:rPr>
        <w:t>National Health Normative Standards Framework for Interoperability in eHealth in South Africa Version 2.0. Department of Health Republic of South Africa and CSIR, March 2014.</w:t>
      </w:r>
    </w:p>
    <w:p w14:paraId="5F159B78" w14:textId="77777777" w:rsidR="00794BDC" w:rsidRDefault="00794BDC" w:rsidP="00794BDC">
      <w:pPr>
        <w:rPr>
          <w:rFonts w:asciiTheme="majorHAnsi" w:hAnsiTheme="majorHAnsi"/>
        </w:rPr>
      </w:pPr>
    </w:p>
    <w:p w14:paraId="5AFA2CAC" w14:textId="77777777" w:rsidR="00794BDC" w:rsidRDefault="00794BDC" w:rsidP="00794BDC">
      <w:pPr>
        <w:rPr>
          <w:rFonts w:asciiTheme="majorHAnsi" w:hAnsiTheme="majorHAnsi"/>
        </w:rPr>
      </w:pPr>
      <w:r>
        <w:rPr>
          <w:rFonts w:asciiTheme="majorHAnsi" w:hAnsiTheme="majorHAnsi"/>
        </w:rPr>
        <w:t>National Information and Community Technology Policy. Ministry of Works, Housing and Communications. The Republic of Uganda, October 2003.</w:t>
      </w:r>
    </w:p>
    <w:p w14:paraId="4A90B9C5" w14:textId="77777777" w:rsidR="00794BDC" w:rsidRDefault="00794BDC" w:rsidP="00794BDC">
      <w:pPr>
        <w:rPr>
          <w:rFonts w:asciiTheme="majorHAnsi" w:hAnsiTheme="majorHAnsi"/>
        </w:rPr>
      </w:pPr>
    </w:p>
    <w:p w14:paraId="2D339B00" w14:textId="77777777" w:rsidR="00794BDC" w:rsidRDefault="00794BDC" w:rsidP="00794BDC">
      <w:pPr>
        <w:rPr>
          <w:rFonts w:asciiTheme="majorHAnsi" w:hAnsiTheme="majorHAnsi"/>
        </w:rPr>
      </w:pPr>
      <w:r>
        <w:rPr>
          <w:rFonts w:asciiTheme="majorHAnsi" w:hAnsiTheme="majorHAnsi"/>
        </w:rPr>
        <w:t>[Uganda] The Access to Information Act, 2005.</w:t>
      </w:r>
    </w:p>
    <w:p w14:paraId="2FCE2013" w14:textId="77777777" w:rsidR="00794BDC" w:rsidRDefault="00794BDC" w:rsidP="00794BDC">
      <w:pPr>
        <w:rPr>
          <w:rFonts w:asciiTheme="majorHAnsi" w:hAnsiTheme="majorHAnsi"/>
        </w:rPr>
      </w:pPr>
    </w:p>
    <w:p w14:paraId="11B140E9" w14:textId="77777777" w:rsidR="00794BDC" w:rsidRDefault="00794BDC" w:rsidP="00794BDC">
      <w:pPr>
        <w:rPr>
          <w:rFonts w:asciiTheme="majorHAnsi" w:hAnsiTheme="majorHAnsi"/>
        </w:rPr>
      </w:pPr>
      <w:r>
        <w:rPr>
          <w:rFonts w:asciiTheme="majorHAnsi" w:hAnsiTheme="majorHAnsi"/>
        </w:rPr>
        <w:t>[United States] Governance Framework for Trusted Electronic Health Information Exchange. May 2013.</w:t>
      </w:r>
    </w:p>
    <w:p w14:paraId="5813F379" w14:textId="77777777" w:rsidR="00794BDC" w:rsidRDefault="00794BDC" w:rsidP="00794BDC">
      <w:pPr>
        <w:rPr>
          <w:rFonts w:asciiTheme="majorHAnsi" w:hAnsiTheme="majorHAnsi"/>
        </w:rPr>
      </w:pPr>
    </w:p>
    <w:p w14:paraId="10705814" w14:textId="77777777" w:rsidR="00794BDC" w:rsidRDefault="00794BDC" w:rsidP="00794BDC">
      <w:pPr>
        <w:rPr>
          <w:rFonts w:asciiTheme="majorHAnsi" w:hAnsiTheme="majorHAnsi"/>
        </w:rPr>
      </w:pPr>
      <w:r>
        <w:rPr>
          <w:rFonts w:asciiTheme="majorHAnsi" w:hAnsiTheme="majorHAnsi"/>
        </w:rPr>
        <w:t>[United States] 2016 Interoperability Standards Advisory: Best Available Standards and Implementation Specifications. Office of the National Coordinator for Health IT.</w:t>
      </w:r>
    </w:p>
    <w:p w14:paraId="40EFB90E" w14:textId="77777777" w:rsidR="00794BDC" w:rsidRDefault="00794BDC" w:rsidP="00794BDC">
      <w:pPr>
        <w:rPr>
          <w:rFonts w:asciiTheme="majorHAnsi" w:hAnsiTheme="majorHAnsi"/>
        </w:rPr>
      </w:pPr>
    </w:p>
    <w:p w14:paraId="479B13FE" w14:textId="77777777" w:rsidR="00794BDC" w:rsidRDefault="00794BDC" w:rsidP="00794BDC">
      <w:pPr>
        <w:rPr>
          <w:rFonts w:asciiTheme="majorHAnsi" w:hAnsiTheme="majorHAnsi"/>
        </w:rPr>
      </w:pPr>
      <w:r>
        <w:rPr>
          <w:rFonts w:asciiTheme="majorHAnsi" w:hAnsiTheme="majorHAnsi"/>
        </w:rPr>
        <w:t>World Health Assembly eHealth Resolution WHA58.28. 25 May 2005.</w:t>
      </w:r>
    </w:p>
    <w:p w14:paraId="235AE32C" w14:textId="77777777" w:rsidR="00794BDC" w:rsidRDefault="00794BDC" w:rsidP="00794BDC">
      <w:pPr>
        <w:rPr>
          <w:rFonts w:asciiTheme="majorHAnsi" w:hAnsiTheme="majorHAnsi"/>
        </w:rPr>
      </w:pPr>
    </w:p>
    <w:p w14:paraId="70C9D809" w14:textId="77777777" w:rsidR="00794BDC" w:rsidRDefault="00794BDC" w:rsidP="00794BDC">
      <w:pPr>
        <w:rPr>
          <w:rFonts w:asciiTheme="majorHAnsi" w:hAnsiTheme="majorHAnsi"/>
        </w:rPr>
      </w:pPr>
      <w:r>
        <w:rPr>
          <w:rFonts w:asciiTheme="majorHAnsi" w:hAnsiTheme="majorHAnsi"/>
        </w:rPr>
        <w:t>World Health Organization eHealth Resolution EB115/SR/12. 24 January 2005.</w:t>
      </w:r>
    </w:p>
    <w:p w14:paraId="0A71D54C" w14:textId="77777777" w:rsidR="00794BDC" w:rsidRDefault="00794BDC" w:rsidP="00794BDC">
      <w:pPr>
        <w:rPr>
          <w:rFonts w:asciiTheme="majorHAnsi" w:hAnsiTheme="majorHAnsi"/>
        </w:rPr>
      </w:pPr>
    </w:p>
    <w:p w14:paraId="4C107A08" w14:textId="77777777" w:rsidR="00794BDC" w:rsidRDefault="00794BDC" w:rsidP="00794BDC">
      <w:pPr>
        <w:rPr>
          <w:rFonts w:asciiTheme="majorHAnsi" w:hAnsiTheme="majorHAnsi"/>
        </w:rPr>
      </w:pPr>
      <w:r>
        <w:rPr>
          <w:rFonts w:asciiTheme="majorHAnsi" w:hAnsiTheme="majorHAnsi"/>
        </w:rPr>
        <w:t>[Zimbabwe] Notice in Terms of the National Health Act No 61 of 2003: National Health Normative Standards Framework for Interoperability in eHealth. 23 April 2014.</w:t>
      </w:r>
    </w:p>
    <w:p w14:paraId="2F26724E" w14:textId="77777777" w:rsidR="00794BDC" w:rsidRDefault="00794BDC" w:rsidP="00794BDC">
      <w:pPr>
        <w:rPr>
          <w:rFonts w:asciiTheme="majorHAnsi" w:hAnsiTheme="majorHAnsi"/>
        </w:rPr>
      </w:pPr>
    </w:p>
    <w:p w14:paraId="106F05B2" w14:textId="77777777" w:rsidR="00393E81" w:rsidRPr="006A130C" w:rsidRDefault="00393E81" w:rsidP="00794BDC">
      <w:pPr>
        <w:rPr>
          <w:rFonts w:asciiTheme="majorHAnsi" w:hAnsiTheme="majorHAnsi"/>
        </w:rPr>
      </w:pPr>
    </w:p>
    <w:p w14:paraId="70FBD54D" w14:textId="77777777" w:rsidR="00794BDC" w:rsidRDefault="00794BDC" w:rsidP="00794BDC">
      <w:pPr>
        <w:rPr>
          <w:rFonts w:asciiTheme="majorHAnsi" w:hAnsiTheme="majorHAnsi"/>
          <w:b/>
        </w:rPr>
      </w:pPr>
      <w:r>
        <w:rPr>
          <w:rFonts w:asciiTheme="majorHAnsi" w:hAnsiTheme="majorHAnsi"/>
          <w:b/>
        </w:rPr>
        <w:t>Data Use Agreements</w:t>
      </w:r>
    </w:p>
    <w:p w14:paraId="0832E94E" w14:textId="77777777" w:rsidR="00794BDC" w:rsidRDefault="00794BDC" w:rsidP="00794BDC">
      <w:pPr>
        <w:rPr>
          <w:rFonts w:asciiTheme="majorHAnsi" w:hAnsiTheme="majorHAnsi"/>
          <w:b/>
        </w:rPr>
      </w:pPr>
    </w:p>
    <w:p w14:paraId="242D1241" w14:textId="0458F28A" w:rsidR="00794BDC" w:rsidRDefault="00794BDC" w:rsidP="00794BDC">
      <w:pPr>
        <w:rPr>
          <w:rFonts w:asciiTheme="majorHAnsi" w:hAnsiTheme="majorHAnsi"/>
        </w:rPr>
      </w:pPr>
      <w:r>
        <w:rPr>
          <w:rFonts w:asciiTheme="majorHAnsi" w:hAnsiTheme="majorHAnsi"/>
        </w:rPr>
        <w:t>Memorandum of Agreement Between the Philippine Center for Economic Development and the Department of Social Welfare and Development for knowledge exchange relating to Pantawid Pamilya, including sharing of data and research, 10 Jan 2014.</w:t>
      </w:r>
    </w:p>
    <w:p w14:paraId="702214F0" w14:textId="77777777" w:rsidR="00794BDC" w:rsidRDefault="00794BDC" w:rsidP="00794BDC">
      <w:pPr>
        <w:rPr>
          <w:rFonts w:asciiTheme="majorHAnsi" w:hAnsiTheme="majorHAnsi"/>
        </w:rPr>
      </w:pPr>
    </w:p>
    <w:p w14:paraId="668A2668" w14:textId="77777777" w:rsidR="00794BDC" w:rsidRDefault="00794BDC" w:rsidP="00794BDC">
      <w:pPr>
        <w:rPr>
          <w:rFonts w:asciiTheme="majorHAnsi" w:hAnsiTheme="majorHAnsi"/>
        </w:rPr>
      </w:pPr>
      <w:r w:rsidRPr="006E20F0">
        <w:rPr>
          <w:rFonts w:asciiTheme="majorHAnsi" w:hAnsiTheme="majorHAnsi"/>
        </w:rPr>
        <w:t>Joint</w:t>
      </w:r>
      <w:r>
        <w:rPr>
          <w:rFonts w:asciiTheme="majorHAnsi" w:hAnsiTheme="majorHAnsi"/>
        </w:rPr>
        <w:t xml:space="preserve"> Administrative Order No. 2016-0001. Implementation of the Philippine Health Information Exchange. Department of Health, Department of Science and Technology, Philippine Health Insurance Corporation.</w:t>
      </w:r>
    </w:p>
    <w:p w14:paraId="5CF06149" w14:textId="77777777" w:rsidR="00794BDC" w:rsidRDefault="00794BDC" w:rsidP="00794BDC">
      <w:pPr>
        <w:rPr>
          <w:rFonts w:asciiTheme="majorHAnsi" w:hAnsiTheme="majorHAnsi"/>
        </w:rPr>
      </w:pPr>
    </w:p>
    <w:p w14:paraId="0CD110E1" w14:textId="77777777" w:rsidR="00794BDC" w:rsidRDefault="00794BDC" w:rsidP="00794BDC">
      <w:pPr>
        <w:rPr>
          <w:rFonts w:asciiTheme="majorHAnsi" w:hAnsiTheme="majorHAnsi"/>
        </w:rPr>
      </w:pPr>
      <w:r>
        <w:rPr>
          <w:rFonts w:asciiTheme="majorHAnsi" w:hAnsiTheme="majorHAnsi"/>
        </w:rPr>
        <w:t>Memorandum of Understanding Between Kambia District Republic of Sierra Leone and Forécariah Prefecture of the Republic of Guinea Concerning Surveillance of the Ebola Virus Disease and Coordination of Cross-Border Interventions, 23 March 2015.</w:t>
      </w:r>
    </w:p>
    <w:p w14:paraId="4B8135AB" w14:textId="77777777" w:rsidR="00794BDC" w:rsidRDefault="00794BDC" w:rsidP="00794BDC">
      <w:pPr>
        <w:rPr>
          <w:rFonts w:asciiTheme="majorHAnsi" w:hAnsiTheme="majorHAnsi"/>
        </w:rPr>
      </w:pPr>
    </w:p>
    <w:p w14:paraId="36F4C839" w14:textId="77777777" w:rsidR="00794BDC" w:rsidRDefault="00794BDC" w:rsidP="00794BDC">
      <w:pPr>
        <w:rPr>
          <w:rFonts w:asciiTheme="majorHAnsi" w:hAnsiTheme="majorHAnsi"/>
        </w:rPr>
      </w:pPr>
      <w:r>
        <w:rPr>
          <w:rFonts w:asciiTheme="majorHAnsi" w:hAnsiTheme="majorHAnsi"/>
        </w:rPr>
        <w:t>Annexes for Memorandum of Understanding Between Kambia District Republic of Sierra Leone and Forécariah Prefecture of the Republic of Guinea Concerning Surveillance of the Ebola Virus Disease and Coordination of Cross-Border Interventions, 23 March 2015.</w:t>
      </w:r>
    </w:p>
    <w:p w14:paraId="67B20A25" w14:textId="77777777" w:rsidR="00794BDC" w:rsidRDefault="00794BDC" w:rsidP="00794BDC">
      <w:pPr>
        <w:rPr>
          <w:rFonts w:asciiTheme="majorHAnsi" w:hAnsiTheme="majorHAnsi"/>
        </w:rPr>
      </w:pPr>
    </w:p>
    <w:p w14:paraId="343C2CAC" w14:textId="77777777" w:rsidR="00794BDC" w:rsidRDefault="00794BDC" w:rsidP="00794BDC">
      <w:pPr>
        <w:rPr>
          <w:rFonts w:asciiTheme="majorHAnsi" w:hAnsiTheme="majorHAnsi"/>
        </w:rPr>
      </w:pPr>
      <w:r>
        <w:rPr>
          <w:rFonts w:asciiTheme="majorHAnsi" w:hAnsiTheme="majorHAnsi"/>
        </w:rPr>
        <w:t>[United States] Carequality</w:t>
      </w:r>
      <w:r w:rsidRPr="001C5364">
        <w:rPr>
          <w:rFonts w:asciiTheme="majorHAnsi" w:hAnsiTheme="majorHAnsi"/>
          <w:vertAlign w:val="superscript"/>
        </w:rPr>
        <w:t>®</w:t>
      </w:r>
      <w:r>
        <w:rPr>
          <w:rFonts w:asciiTheme="majorHAnsi" w:hAnsiTheme="majorHAnsi"/>
        </w:rPr>
        <w:t xml:space="preserve"> Connected Agreement, Approved 5 November 2015.</w:t>
      </w:r>
    </w:p>
    <w:p w14:paraId="038A864C" w14:textId="77777777" w:rsidR="00794BDC" w:rsidRDefault="00794BDC" w:rsidP="00794BDC">
      <w:pPr>
        <w:rPr>
          <w:rFonts w:asciiTheme="majorHAnsi" w:hAnsiTheme="majorHAnsi"/>
        </w:rPr>
      </w:pPr>
    </w:p>
    <w:p w14:paraId="744ED3D8" w14:textId="77777777" w:rsidR="00794BDC" w:rsidRPr="00B402BD" w:rsidRDefault="00794BDC" w:rsidP="00794BDC">
      <w:pPr>
        <w:rPr>
          <w:rFonts w:asciiTheme="majorHAnsi" w:hAnsiTheme="majorHAnsi"/>
        </w:rPr>
      </w:pPr>
      <w:r>
        <w:rPr>
          <w:rFonts w:asciiTheme="majorHAnsi" w:hAnsiTheme="majorHAnsi"/>
        </w:rPr>
        <w:t>[United States] Carequality</w:t>
      </w:r>
      <w:r w:rsidRPr="001C5364">
        <w:rPr>
          <w:rFonts w:asciiTheme="majorHAnsi" w:hAnsiTheme="majorHAnsi"/>
          <w:vertAlign w:val="superscript"/>
        </w:rPr>
        <w:t>®</w:t>
      </w:r>
      <w:r>
        <w:rPr>
          <w:rFonts w:asciiTheme="majorHAnsi" w:hAnsiTheme="majorHAnsi"/>
          <w:vertAlign w:val="superscript"/>
        </w:rPr>
        <w:t xml:space="preserve"> </w:t>
      </w:r>
      <w:r>
        <w:rPr>
          <w:rFonts w:asciiTheme="majorHAnsi" w:hAnsiTheme="majorHAnsi"/>
        </w:rPr>
        <w:t>Connected Terms.</w:t>
      </w:r>
    </w:p>
    <w:p w14:paraId="0F21F531" w14:textId="77777777" w:rsidR="00794BDC" w:rsidRDefault="00794BDC" w:rsidP="00794BDC">
      <w:pPr>
        <w:rPr>
          <w:rFonts w:asciiTheme="majorHAnsi" w:hAnsiTheme="majorHAnsi"/>
        </w:rPr>
      </w:pPr>
    </w:p>
    <w:p w14:paraId="24C805AF" w14:textId="77777777" w:rsidR="00794BDC" w:rsidRDefault="00794BDC" w:rsidP="00794BDC">
      <w:pPr>
        <w:rPr>
          <w:rFonts w:asciiTheme="majorHAnsi" w:hAnsiTheme="majorHAnsi"/>
        </w:rPr>
      </w:pPr>
      <w:r>
        <w:rPr>
          <w:rFonts w:asciiTheme="majorHAnsi" w:hAnsiTheme="majorHAnsi"/>
        </w:rPr>
        <w:t>[United States] Carequality</w:t>
      </w:r>
      <w:r w:rsidRPr="001C5364">
        <w:rPr>
          <w:rFonts w:asciiTheme="majorHAnsi" w:hAnsiTheme="majorHAnsi"/>
          <w:vertAlign w:val="superscript"/>
        </w:rPr>
        <w:t>®</w:t>
      </w:r>
      <w:r>
        <w:rPr>
          <w:rFonts w:asciiTheme="majorHAnsi" w:hAnsiTheme="majorHAnsi"/>
        </w:rPr>
        <w:t xml:space="preserve"> Dispute Resolution Process.</w:t>
      </w:r>
    </w:p>
    <w:p w14:paraId="288EDCD9" w14:textId="77777777" w:rsidR="00794BDC" w:rsidRPr="00970728" w:rsidRDefault="00794BDC" w:rsidP="00794BDC">
      <w:pPr>
        <w:rPr>
          <w:rFonts w:asciiTheme="majorHAnsi" w:hAnsiTheme="majorHAnsi"/>
        </w:rPr>
      </w:pPr>
    </w:p>
    <w:p w14:paraId="0BBB353F" w14:textId="77777777" w:rsidR="00794BDC" w:rsidRDefault="00794BDC" w:rsidP="00794BDC">
      <w:pPr>
        <w:rPr>
          <w:rFonts w:asciiTheme="majorHAnsi" w:hAnsiTheme="majorHAnsi"/>
        </w:rPr>
      </w:pPr>
      <w:r>
        <w:rPr>
          <w:rFonts w:asciiTheme="majorHAnsi" w:hAnsiTheme="majorHAnsi"/>
        </w:rPr>
        <w:t>[United States] Carequality</w:t>
      </w:r>
      <w:r w:rsidRPr="001C5364">
        <w:rPr>
          <w:rFonts w:asciiTheme="majorHAnsi" w:hAnsiTheme="majorHAnsi"/>
          <w:vertAlign w:val="superscript"/>
        </w:rPr>
        <w:t>®</w:t>
      </w:r>
      <w:r>
        <w:rPr>
          <w:rFonts w:asciiTheme="majorHAnsi" w:hAnsiTheme="majorHAnsi"/>
        </w:rPr>
        <w:t xml:space="preserve"> Principles of Trust, Ratified January 2015.</w:t>
      </w:r>
    </w:p>
    <w:p w14:paraId="27F65F25" w14:textId="77777777" w:rsidR="00794BDC" w:rsidRDefault="00794BDC" w:rsidP="00794BDC">
      <w:pPr>
        <w:rPr>
          <w:rFonts w:asciiTheme="majorHAnsi" w:hAnsiTheme="majorHAnsi"/>
        </w:rPr>
      </w:pPr>
    </w:p>
    <w:p w14:paraId="31ACDD31" w14:textId="77777777" w:rsidR="00794BDC" w:rsidRDefault="00794BDC" w:rsidP="00794BDC">
      <w:pPr>
        <w:rPr>
          <w:rFonts w:asciiTheme="majorHAnsi" w:hAnsiTheme="majorHAnsi"/>
        </w:rPr>
      </w:pPr>
      <w:r>
        <w:rPr>
          <w:rFonts w:asciiTheme="majorHAnsi" w:hAnsiTheme="majorHAnsi"/>
        </w:rPr>
        <w:t>[United States] Carequality</w:t>
      </w:r>
      <w:r w:rsidRPr="001C5364">
        <w:rPr>
          <w:rFonts w:asciiTheme="majorHAnsi" w:hAnsiTheme="majorHAnsi"/>
          <w:vertAlign w:val="superscript"/>
        </w:rPr>
        <w:t>®</w:t>
      </w:r>
      <w:r>
        <w:rPr>
          <w:rFonts w:asciiTheme="majorHAnsi" w:hAnsiTheme="majorHAnsi"/>
          <w:vertAlign w:val="superscript"/>
        </w:rPr>
        <w:t xml:space="preserve"> </w:t>
      </w:r>
      <w:r>
        <w:rPr>
          <w:rFonts w:asciiTheme="majorHAnsi" w:hAnsiTheme="majorHAnsi"/>
        </w:rPr>
        <w:t>Query-Based Document Exchange Implementation Guide Version 1.0, Adopted 5 November 2015.</w:t>
      </w:r>
    </w:p>
    <w:p w14:paraId="4FAE76F8" w14:textId="77777777" w:rsidR="00794BDC" w:rsidRDefault="00794BDC" w:rsidP="00794BDC">
      <w:pPr>
        <w:rPr>
          <w:rFonts w:asciiTheme="majorHAnsi" w:hAnsiTheme="majorHAnsi"/>
        </w:rPr>
      </w:pPr>
    </w:p>
    <w:p w14:paraId="7316DD96" w14:textId="77777777" w:rsidR="00794BDC" w:rsidRPr="005D4F61" w:rsidRDefault="00794BDC" w:rsidP="00794BDC">
      <w:pPr>
        <w:rPr>
          <w:rFonts w:asciiTheme="majorHAnsi" w:hAnsiTheme="majorHAnsi"/>
        </w:rPr>
      </w:pPr>
      <w:r>
        <w:rPr>
          <w:rFonts w:asciiTheme="majorHAnsi" w:hAnsiTheme="majorHAnsi"/>
        </w:rPr>
        <w:t>[United States] eHealth Exchange</w:t>
      </w:r>
      <w:r w:rsidRPr="002775DC">
        <w:rPr>
          <w:rFonts w:asciiTheme="majorHAnsi" w:hAnsiTheme="majorHAnsi"/>
          <w:vertAlign w:val="superscript"/>
        </w:rPr>
        <w:t>TM</w:t>
      </w:r>
      <w:r>
        <w:rPr>
          <w:rFonts w:asciiTheme="majorHAnsi" w:hAnsiTheme="majorHAnsi"/>
          <w:vertAlign w:val="superscript"/>
        </w:rPr>
        <w:t xml:space="preserve"> </w:t>
      </w:r>
      <w:r>
        <w:rPr>
          <w:rFonts w:asciiTheme="majorHAnsi" w:hAnsiTheme="majorHAnsi"/>
        </w:rPr>
        <w:t>Data Use and Reciprocal Support Agreement (DURSA). Presentation by Steve Gravely and Mariann Yeager, 19 June 2013.</w:t>
      </w:r>
    </w:p>
    <w:p w14:paraId="4F3FA6FF" w14:textId="77777777" w:rsidR="00794BDC" w:rsidRDefault="00794BDC" w:rsidP="00794BDC">
      <w:pPr>
        <w:rPr>
          <w:rFonts w:asciiTheme="majorHAnsi" w:hAnsiTheme="majorHAnsi"/>
        </w:rPr>
      </w:pPr>
    </w:p>
    <w:p w14:paraId="57F666DE" w14:textId="77777777" w:rsidR="00794BDC" w:rsidRDefault="00794BDC" w:rsidP="00794BDC">
      <w:pPr>
        <w:rPr>
          <w:rFonts w:asciiTheme="majorHAnsi" w:hAnsiTheme="majorHAnsi"/>
        </w:rPr>
      </w:pPr>
      <w:r>
        <w:rPr>
          <w:rFonts w:asciiTheme="majorHAnsi" w:hAnsiTheme="majorHAnsi"/>
        </w:rPr>
        <w:t>[United States] eHealth Exchange</w:t>
      </w:r>
      <w:r w:rsidRPr="002775DC">
        <w:rPr>
          <w:rFonts w:asciiTheme="majorHAnsi" w:hAnsiTheme="majorHAnsi"/>
          <w:vertAlign w:val="superscript"/>
        </w:rPr>
        <w:t>TM</w:t>
      </w:r>
      <w:r>
        <w:rPr>
          <w:rFonts w:asciiTheme="majorHAnsi" w:hAnsiTheme="majorHAnsi"/>
          <w:vertAlign w:val="superscript"/>
        </w:rPr>
        <w:t xml:space="preserve"> </w:t>
      </w:r>
      <w:r>
        <w:rPr>
          <w:rFonts w:asciiTheme="majorHAnsi" w:hAnsiTheme="majorHAnsi"/>
        </w:rPr>
        <w:t>Data Use and Reciprocal Support Agreement (DURSA) Policy Assumptions, 3 May 2011.</w:t>
      </w:r>
    </w:p>
    <w:p w14:paraId="22D53182" w14:textId="77777777" w:rsidR="00794BDC" w:rsidRDefault="00794BDC" w:rsidP="00794BDC">
      <w:pPr>
        <w:rPr>
          <w:rFonts w:asciiTheme="majorHAnsi" w:hAnsiTheme="majorHAnsi"/>
        </w:rPr>
      </w:pPr>
    </w:p>
    <w:p w14:paraId="67D9206A" w14:textId="77777777" w:rsidR="00794BDC" w:rsidRDefault="00794BDC" w:rsidP="00794BDC">
      <w:pPr>
        <w:rPr>
          <w:rFonts w:asciiTheme="majorHAnsi" w:hAnsiTheme="majorHAnsi"/>
        </w:rPr>
      </w:pPr>
      <w:r>
        <w:rPr>
          <w:rFonts w:asciiTheme="majorHAnsi" w:hAnsiTheme="majorHAnsi"/>
        </w:rPr>
        <w:t>[United States] eHealth Exchange</w:t>
      </w:r>
      <w:r w:rsidRPr="002775DC">
        <w:rPr>
          <w:rFonts w:asciiTheme="majorHAnsi" w:hAnsiTheme="majorHAnsi"/>
          <w:vertAlign w:val="superscript"/>
        </w:rPr>
        <w:t>TM</w:t>
      </w:r>
      <w:r>
        <w:rPr>
          <w:rFonts w:asciiTheme="majorHAnsi" w:hAnsiTheme="majorHAnsi"/>
          <w:vertAlign w:val="superscript"/>
        </w:rPr>
        <w:t xml:space="preserve">  </w:t>
      </w:r>
      <w:r>
        <w:rPr>
          <w:rFonts w:asciiTheme="majorHAnsi" w:hAnsiTheme="majorHAnsi"/>
        </w:rPr>
        <w:t>Restatement I of the Data Use and Reciprocal Support Agreement (DURSA), 30 September 2014.</w:t>
      </w:r>
    </w:p>
    <w:p w14:paraId="0FBD7AB2" w14:textId="77777777" w:rsidR="00794BDC" w:rsidRDefault="00794BDC" w:rsidP="00794BDC">
      <w:pPr>
        <w:rPr>
          <w:rFonts w:asciiTheme="majorHAnsi" w:hAnsiTheme="majorHAnsi"/>
        </w:rPr>
      </w:pPr>
    </w:p>
    <w:p w14:paraId="7318BFA0" w14:textId="77777777" w:rsidR="00794BDC" w:rsidRDefault="00794BDC" w:rsidP="00794BDC">
      <w:pPr>
        <w:rPr>
          <w:rFonts w:asciiTheme="majorHAnsi" w:hAnsiTheme="majorHAnsi"/>
        </w:rPr>
      </w:pPr>
      <w:r>
        <w:rPr>
          <w:rFonts w:asciiTheme="majorHAnsi" w:hAnsiTheme="majorHAnsi"/>
        </w:rPr>
        <w:t>[United States] Indian Health Service Master Patient Index, Health Information Exchange, Personal Health Record, and RPMS Direct Multi-Purpose Agreement, Version 1.0.</w:t>
      </w:r>
    </w:p>
    <w:p w14:paraId="177C4979" w14:textId="77777777" w:rsidR="00794BDC" w:rsidRDefault="00794BDC" w:rsidP="00794BDC">
      <w:pPr>
        <w:rPr>
          <w:rFonts w:asciiTheme="majorHAnsi" w:hAnsiTheme="majorHAnsi"/>
        </w:rPr>
      </w:pPr>
    </w:p>
    <w:p w14:paraId="161B7376" w14:textId="77777777" w:rsidR="00794BDC" w:rsidRDefault="00794BDC" w:rsidP="00794BDC">
      <w:pPr>
        <w:rPr>
          <w:rFonts w:asciiTheme="majorHAnsi" w:hAnsiTheme="majorHAnsi"/>
        </w:rPr>
      </w:pPr>
      <w:r>
        <w:rPr>
          <w:rFonts w:asciiTheme="majorHAnsi" w:hAnsiTheme="majorHAnsi"/>
        </w:rPr>
        <w:t>[United States] Indian Health Service MPA Joinder Agreement.</w:t>
      </w:r>
    </w:p>
    <w:p w14:paraId="36293ACD" w14:textId="77777777" w:rsidR="00794BDC" w:rsidRDefault="00794BDC" w:rsidP="00794BDC">
      <w:pPr>
        <w:rPr>
          <w:rFonts w:asciiTheme="majorHAnsi" w:hAnsiTheme="majorHAnsi"/>
        </w:rPr>
      </w:pPr>
    </w:p>
    <w:p w14:paraId="66C1A881" w14:textId="77777777" w:rsidR="00794BDC" w:rsidRDefault="00794BDC" w:rsidP="00794BDC">
      <w:pPr>
        <w:rPr>
          <w:rFonts w:asciiTheme="majorHAnsi" w:hAnsiTheme="majorHAnsi"/>
        </w:rPr>
      </w:pPr>
      <w:r>
        <w:rPr>
          <w:rFonts w:asciiTheme="majorHAnsi" w:hAnsiTheme="majorHAnsi"/>
        </w:rPr>
        <w:t>[Unites States] Indian Health Service Approved Interim IHM Policy – Resource and Patient Management System Network.</w:t>
      </w:r>
    </w:p>
    <w:p w14:paraId="73B20CD8" w14:textId="77777777" w:rsidR="00AE51F5" w:rsidRDefault="00AE51F5" w:rsidP="00794BDC">
      <w:pPr>
        <w:rPr>
          <w:rFonts w:asciiTheme="majorHAnsi" w:hAnsiTheme="majorHAnsi"/>
        </w:rPr>
      </w:pPr>
    </w:p>
    <w:p w14:paraId="10A3A372" w14:textId="1C1D9612" w:rsidR="00AE51F5" w:rsidRDefault="00AE51F5" w:rsidP="00794BDC">
      <w:pPr>
        <w:rPr>
          <w:rFonts w:asciiTheme="majorHAnsi" w:hAnsiTheme="majorHAnsi"/>
        </w:rPr>
      </w:pPr>
      <w:r>
        <w:rPr>
          <w:rFonts w:asciiTheme="majorHAnsi" w:hAnsiTheme="majorHAnsi"/>
        </w:rPr>
        <w:t>[United States] Indianapolis Regional Network for Primary and Emergency Care Second Participants’ Agreement. 2 April 2014.</w:t>
      </w:r>
    </w:p>
    <w:p w14:paraId="2E6A5B7E" w14:textId="77777777" w:rsidR="00794BDC" w:rsidRDefault="00794BDC" w:rsidP="00794BDC">
      <w:pPr>
        <w:rPr>
          <w:rFonts w:asciiTheme="majorHAnsi" w:hAnsiTheme="majorHAnsi"/>
        </w:rPr>
      </w:pPr>
    </w:p>
    <w:p w14:paraId="0E3A2AD9" w14:textId="77777777" w:rsidR="00393E81" w:rsidRDefault="00393E81" w:rsidP="00794BDC">
      <w:pPr>
        <w:rPr>
          <w:rFonts w:asciiTheme="majorHAnsi" w:hAnsiTheme="majorHAnsi"/>
        </w:rPr>
      </w:pPr>
    </w:p>
    <w:p w14:paraId="4144C990" w14:textId="77777777" w:rsidR="00794BDC" w:rsidRDefault="00794BDC" w:rsidP="00794BDC">
      <w:pPr>
        <w:rPr>
          <w:rFonts w:asciiTheme="majorHAnsi" w:hAnsiTheme="majorHAnsi"/>
          <w:b/>
        </w:rPr>
      </w:pPr>
      <w:r>
        <w:rPr>
          <w:rFonts w:asciiTheme="majorHAnsi" w:hAnsiTheme="majorHAnsi"/>
          <w:b/>
        </w:rPr>
        <w:t>Reports</w:t>
      </w:r>
    </w:p>
    <w:p w14:paraId="06F57C85" w14:textId="77777777" w:rsidR="00794BDC" w:rsidRDefault="00794BDC" w:rsidP="00794BDC">
      <w:pPr>
        <w:rPr>
          <w:rFonts w:asciiTheme="majorHAnsi" w:hAnsiTheme="majorHAnsi"/>
          <w:b/>
        </w:rPr>
      </w:pPr>
    </w:p>
    <w:p w14:paraId="29B95B63" w14:textId="6B59BBD1" w:rsidR="00245DD3" w:rsidRDefault="00245DD3" w:rsidP="00794BDC">
      <w:pPr>
        <w:rPr>
          <w:rFonts w:asciiTheme="majorHAnsi" w:hAnsiTheme="majorHAnsi"/>
        </w:rPr>
      </w:pPr>
      <w:r>
        <w:rPr>
          <w:rFonts w:asciiTheme="majorHAnsi" w:hAnsiTheme="majorHAnsi"/>
        </w:rPr>
        <w:t>e-Government Interoperability: A comparative analysis of 30 countries. CSTransform</w:t>
      </w:r>
      <w:r w:rsidR="00BF7F0A">
        <w:rPr>
          <w:rFonts w:asciiTheme="majorHAnsi" w:hAnsiTheme="majorHAnsi"/>
        </w:rPr>
        <w:t xml:space="preserve"> White Papers</w:t>
      </w:r>
      <w:r>
        <w:rPr>
          <w:rFonts w:asciiTheme="majorHAnsi" w:hAnsiTheme="majorHAnsi"/>
        </w:rPr>
        <w:t>, 2010.</w:t>
      </w:r>
    </w:p>
    <w:p w14:paraId="46F3A0E8" w14:textId="77777777" w:rsidR="00245DD3" w:rsidRDefault="00245DD3" w:rsidP="00794BDC">
      <w:pPr>
        <w:rPr>
          <w:rFonts w:asciiTheme="majorHAnsi" w:hAnsiTheme="majorHAnsi"/>
        </w:rPr>
      </w:pPr>
    </w:p>
    <w:p w14:paraId="12B6C0AD" w14:textId="77777777" w:rsidR="00794BDC" w:rsidRDefault="00794BDC" w:rsidP="00794BDC">
      <w:pPr>
        <w:rPr>
          <w:rFonts w:asciiTheme="majorHAnsi" w:hAnsiTheme="majorHAnsi"/>
        </w:rPr>
      </w:pPr>
      <w:r>
        <w:rPr>
          <w:rFonts w:asciiTheme="majorHAnsi" w:hAnsiTheme="majorHAnsi"/>
        </w:rPr>
        <w:t>Report from the Commission to the European Parliament and the Council. Commission Report on the operation of Directive 2011/24/EU on the application of patients’ rights in cross-border healthcare, 4 September 2015.</w:t>
      </w:r>
    </w:p>
    <w:p w14:paraId="080A75D5" w14:textId="77777777" w:rsidR="00794BDC" w:rsidRDefault="00794BDC" w:rsidP="00794BDC">
      <w:pPr>
        <w:rPr>
          <w:rFonts w:asciiTheme="majorHAnsi" w:hAnsiTheme="majorHAnsi"/>
        </w:rPr>
      </w:pPr>
    </w:p>
    <w:p w14:paraId="14571CB6" w14:textId="77777777" w:rsidR="00794BDC" w:rsidRPr="001F47B3" w:rsidRDefault="00794BDC" w:rsidP="00794BDC">
      <w:pPr>
        <w:rPr>
          <w:rFonts w:asciiTheme="majorHAnsi" w:hAnsiTheme="majorHAnsi"/>
        </w:rPr>
      </w:pPr>
      <w:r>
        <w:rPr>
          <w:rFonts w:asciiTheme="majorHAnsi" w:hAnsiTheme="majorHAnsi"/>
        </w:rPr>
        <w:t>Smart Open Services for European Patients (epSOS). Open eHealth Initiative for a European Large Scale Pilot of Patient Summary and Electronic Prescription. Recommendations D2.2.7 Policy and Strategy, 6 June 2014.</w:t>
      </w:r>
    </w:p>
    <w:p w14:paraId="6CF52BA9" w14:textId="77777777" w:rsidR="00794BDC" w:rsidRDefault="00794BDC" w:rsidP="00794BDC">
      <w:pPr>
        <w:rPr>
          <w:rFonts w:asciiTheme="majorHAnsi" w:hAnsiTheme="majorHAnsi"/>
          <w:b/>
        </w:rPr>
      </w:pPr>
    </w:p>
    <w:p w14:paraId="1498DF6B" w14:textId="77777777" w:rsidR="00794BDC" w:rsidRDefault="00794BDC" w:rsidP="00794BDC">
      <w:pPr>
        <w:rPr>
          <w:rFonts w:asciiTheme="majorHAnsi" w:hAnsiTheme="majorHAnsi"/>
        </w:rPr>
      </w:pPr>
      <w:r>
        <w:rPr>
          <w:rFonts w:asciiTheme="majorHAnsi" w:hAnsiTheme="majorHAnsi"/>
        </w:rPr>
        <w:t>Independent Review of New Zealand’s Electronic Health Records Strategy. Deloitte, 16 July 2015.</w:t>
      </w:r>
    </w:p>
    <w:p w14:paraId="47BFCA70" w14:textId="77777777" w:rsidR="00794BDC" w:rsidRDefault="00794BDC" w:rsidP="00794BDC">
      <w:pPr>
        <w:rPr>
          <w:rFonts w:asciiTheme="majorHAnsi" w:hAnsiTheme="majorHAnsi"/>
        </w:rPr>
      </w:pPr>
    </w:p>
    <w:p w14:paraId="23C5F7DE" w14:textId="77777777" w:rsidR="00794BDC" w:rsidRDefault="00794BDC" w:rsidP="00794BDC">
      <w:pPr>
        <w:rPr>
          <w:rFonts w:asciiTheme="majorHAnsi" w:hAnsiTheme="majorHAnsi"/>
        </w:rPr>
      </w:pPr>
      <w:r>
        <w:rPr>
          <w:rFonts w:asciiTheme="majorHAnsi" w:hAnsiTheme="majorHAnsi"/>
        </w:rPr>
        <w:t>International Review of Health Information Governance Management. Health Information and Quality Authority April 2011.</w:t>
      </w:r>
    </w:p>
    <w:p w14:paraId="7CC2B691" w14:textId="77777777" w:rsidR="00794BDC" w:rsidRDefault="00794BDC" w:rsidP="00794BDC">
      <w:pPr>
        <w:rPr>
          <w:rFonts w:asciiTheme="majorHAnsi" w:hAnsiTheme="majorHAnsi"/>
        </w:rPr>
      </w:pPr>
    </w:p>
    <w:p w14:paraId="54E2DE59" w14:textId="77777777" w:rsidR="00794BDC" w:rsidRDefault="00794BDC" w:rsidP="00794BDC">
      <w:pPr>
        <w:tabs>
          <w:tab w:val="left" w:pos="9180"/>
        </w:tabs>
        <w:rPr>
          <w:rFonts w:asciiTheme="majorHAnsi" w:hAnsiTheme="majorHAnsi"/>
        </w:rPr>
      </w:pPr>
      <w:r>
        <w:rPr>
          <w:rFonts w:asciiTheme="majorHAnsi" w:hAnsiTheme="majorHAnsi"/>
        </w:rPr>
        <w:t>National Health Information System Assessment 2011: Jamaica. Ministry of Health, Jamaica with technical support from the Pan American Health Organization/World Health Organization.</w:t>
      </w:r>
    </w:p>
    <w:p w14:paraId="1E78D7F9" w14:textId="77777777" w:rsidR="00794BDC" w:rsidRDefault="00794BDC" w:rsidP="00794BDC">
      <w:pPr>
        <w:rPr>
          <w:rFonts w:asciiTheme="majorHAnsi" w:hAnsiTheme="majorHAnsi"/>
        </w:rPr>
      </w:pPr>
    </w:p>
    <w:p w14:paraId="1D02248E" w14:textId="77777777" w:rsidR="00794BDC" w:rsidRDefault="00794BDC" w:rsidP="00794BDC">
      <w:pPr>
        <w:rPr>
          <w:rFonts w:asciiTheme="majorHAnsi" w:hAnsiTheme="majorHAnsi"/>
        </w:rPr>
      </w:pPr>
      <w:r>
        <w:rPr>
          <w:rFonts w:asciiTheme="majorHAnsi" w:hAnsiTheme="majorHAnsi"/>
        </w:rPr>
        <w:t>Keeping Personal Health Information Safe and Secure: A Guide to Privacy and Data Security Laws in Nigeria. Prepared by Technology Advisors, Inc. on behalf of the United Nations Foundation, October 2015.</w:t>
      </w:r>
    </w:p>
    <w:p w14:paraId="76411ECB" w14:textId="77777777" w:rsidR="00794BDC" w:rsidRDefault="00794BDC" w:rsidP="00794BDC">
      <w:pPr>
        <w:rPr>
          <w:rFonts w:asciiTheme="majorHAnsi" w:hAnsiTheme="majorHAnsi"/>
        </w:rPr>
      </w:pPr>
    </w:p>
    <w:p w14:paraId="3B474F54" w14:textId="77777777" w:rsidR="00794BDC" w:rsidRDefault="00794BDC" w:rsidP="00794BDC">
      <w:pPr>
        <w:rPr>
          <w:rFonts w:asciiTheme="majorHAnsi" w:hAnsiTheme="majorHAnsi"/>
        </w:rPr>
      </w:pPr>
      <w:r>
        <w:rPr>
          <w:rFonts w:asciiTheme="majorHAnsi" w:hAnsiTheme="majorHAnsi"/>
        </w:rPr>
        <w:t>Inaugural Health Big Data Symposium: Meeting Report, February 2016, Nairobi, Kenya. Republic of Kenya Ministry of Health and Kenya Health Informatics Association.</w:t>
      </w:r>
    </w:p>
    <w:p w14:paraId="39BB0D7A" w14:textId="77777777" w:rsidR="00794BDC" w:rsidRDefault="00794BDC" w:rsidP="00794BDC">
      <w:pPr>
        <w:rPr>
          <w:rFonts w:asciiTheme="majorHAnsi" w:hAnsiTheme="majorHAnsi"/>
        </w:rPr>
      </w:pPr>
    </w:p>
    <w:p w14:paraId="5800D17E" w14:textId="77777777" w:rsidR="00794BDC" w:rsidRDefault="00794BDC" w:rsidP="00794BDC">
      <w:pPr>
        <w:rPr>
          <w:rFonts w:asciiTheme="majorHAnsi" w:hAnsiTheme="majorHAnsi"/>
        </w:rPr>
      </w:pPr>
      <w:r>
        <w:rPr>
          <w:rFonts w:asciiTheme="majorHAnsi" w:hAnsiTheme="majorHAnsi"/>
        </w:rPr>
        <w:t>Report on the Review of EMR Systems Towards Standardization, Kenya Ministries of Health, 2011. Republic of Kenya Ministry of Medical Services and Ministry of Public Health and Sanitation.</w:t>
      </w:r>
    </w:p>
    <w:p w14:paraId="3271B640" w14:textId="77777777" w:rsidR="00794BDC" w:rsidRDefault="00794BDC" w:rsidP="00794BDC">
      <w:pPr>
        <w:rPr>
          <w:rFonts w:asciiTheme="majorHAnsi" w:hAnsiTheme="majorHAnsi"/>
        </w:rPr>
      </w:pPr>
    </w:p>
    <w:p w14:paraId="4F69892B" w14:textId="77777777" w:rsidR="00794BDC" w:rsidRDefault="00794BDC" w:rsidP="00794BDC">
      <w:pPr>
        <w:rPr>
          <w:rFonts w:asciiTheme="majorHAnsi" w:hAnsiTheme="majorHAnsi"/>
        </w:rPr>
      </w:pPr>
      <w:r>
        <w:rPr>
          <w:rFonts w:asciiTheme="majorHAnsi" w:hAnsiTheme="majorHAnsi"/>
        </w:rPr>
        <w:t>Patient Privacy in a Mobile World: A Framework to Address Privacy Law Issues in Mobile Health. mHealth Alliance. June 2013.</w:t>
      </w:r>
    </w:p>
    <w:p w14:paraId="1EC0213F" w14:textId="77777777" w:rsidR="00794BDC" w:rsidRDefault="00794BDC" w:rsidP="00794BDC">
      <w:pPr>
        <w:rPr>
          <w:rFonts w:asciiTheme="majorHAnsi" w:hAnsiTheme="majorHAnsi"/>
        </w:rPr>
      </w:pPr>
    </w:p>
    <w:p w14:paraId="4BC83392" w14:textId="77777777" w:rsidR="00794BDC" w:rsidRDefault="00794BDC" w:rsidP="00794BDC">
      <w:pPr>
        <w:rPr>
          <w:rFonts w:asciiTheme="majorHAnsi" w:hAnsiTheme="majorHAnsi"/>
        </w:rPr>
      </w:pPr>
      <w:r>
        <w:rPr>
          <w:rFonts w:asciiTheme="majorHAnsi" w:hAnsiTheme="majorHAnsi"/>
        </w:rPr>
        <w:t>Philippines Health Information Exchange Assessment Report. OpenHIE. 14 October 2014.</w:t>
      </w:r>
    </w:p>
    <w:p w14:paraId="5A6F3F08" w14:textId="77777777" w:rsidR="00794BDC" w:rsidRDefault="00794BDC" w:rsidP="00794BDC">
      <w:pPr>
        <w:rPr>
          <w:rFonts w:asciiTheme="majorHAnsi" w:hAnsiTheme="majorHAnsi"/>
        </w:rPr>
      </w:pPr>
    </w:p>
    <w:p w14:paraId="78D1EB52" w14:textId="77777777" w:rsidR="00794BDC" w:rsidRDefault="00794BDC" w:rsidP="00794BDC">
      <w:pPr>
        <w:rPr>
          <w:rFonts w:asciiTheme="majorHAnsi" w:hAnsiTheme="majorHAnsi"/>
        </w:rPr>
      </w:pPr>
      <w:r>
        <w:rPr>
          <w:rFonts w:asciiTheme="majorHAnsi" w:hAnsiTheme="majorHAnsi"/>
        </w:rPr>
        <w:t>Review of Developing Country Health Information Systems: A high level review to identify Health Enterprise Architecture assets in ten African countries. Dr. Rosemary Foster, May 2012. Commissioned by Jembi Health Systems.</w:t>
      </w:r>
    </w:p>
    <w:p w14:paraId="283DABB1" w14:textId="77777777" w:rsidR="00794BDC" w:rsidRDefault="00794BDC" w:rsidP="00794BDC">
      <w:pPr>
        <w:rPr>
          <w:rFonts w:asciiTheme="majorHAnsi" w:hAnsiTheme="majorHAnsi"/>
        </w:rPr>
      </w:pPr>
    </w:p>
    <w:p w14:paraId="60F0655D" w14:textId="77777777" w:rsidR="00794BDC" w:rsidRDefault="00794BDC" w:rsidP="00794BDC">
      <w:pPr>
        <w:rPr>
          <w:rFonts w:asciiTheme="majorHAnsi" w:hAnsiTheme="majorHAnsi"/>
        </w:rPr>
      </w:pPr>
      <w:r>
        <w:rPr>
          <w:rFonts w:asciiTheme="majorHAnsi" w:hAnsiTheme="majorHAnsi"/>
        </w:rPr>
        <w:t>Standards and Interoperability for mHealth among Low- and Middle-Income Countries. mHealth Alliance. Jonathan D. Payne, March 2013.</w:t>
      </w:r>
    </w:p>
    <w:p w14:paraId="016D863E" w14:textId="77777777" w:rsidR="00794BDC" w:rsidRDefault="00794BDC" w:rsidP="00794BDC">
      <w:pPr>
        <w:rPr>
          <w:rFonts w:asciiTheme="majorHAnsi" w:hAnsiTheme="majorHAnsi"/>
        </w:rPr>
      </w:pPr>
    </w:p>
    <w:p w14:paraId="61C3A9C0" w14:textId="77777777" w:rsidR="00794BDC" w:rsidRDefault="00794BDC" w:rsidP="00794BDC">
      <w:pPr>
        <w:rPr>
          <w:rFonts w:asciiTheme="majorHAnsi" w:hAnsiTheme="majorHAnsi"/>
        </w:rPr>
      </w:pPr>
      <w:r>
        <w:rPr>
          <w:rFonts w:asciiTheme="majorHAnsi" w:hAnsiTheme="majorHAnsi"/>
        </w:rPr>
        <w:t>[United States] Health system analytics: The missing key to unlock value-based care. Findings from the Deloitte Center for Health Solutions 2015 US Hospital and Health System Analytics Survey.</w:t>
      </w:r>
    </w:p>
    <w:p w14:paraId="2A54118E" w14:textId="77777777" w:rsidR="00794BDC" w:rsidRDefault="00794BDC" w:rsidP="00794BDC">
      <w:pPr>
        <w:rPr>
          <w:rFonts w:asciiTheme="majorHAnsi" w:hAnsiTheme="majorHAnsi"/>
        </w:rPr>
      </w:pPr>
    </w:p>
    <w:p w14:paraId="76323B9D" w14:textId="77777777" w:rsidR="00794BDC" w:rsidRDefault="00794BDC" w:rsidP="00794BDC">
      <w:pPr>
        <w:rPr>
          <w:rFonts w:asciiTheme="majorHAnsi" w:hAnsiTheme="majorHAnsi"/>
        </w:rPr>
      </w:pPr>
      <w:r>
        <w:rPr>
          <w:rFonts w:asciiTheme="majorHAnsi" w:hAnsiTheme="majorHAnsi"/>
        </w:rPr>
        <w:t>[United States] The impact of health information exchange. Presentation by Joshua R. Vest, Indiana University – Indianapolis and Regenstrief Institute.</w:t>
      </w:r>
    </w:p>
    <w:p w14:paraId="0025FDBC" w14:textId="77777777" w:rsidR="00794BDC" w:rsidRDefault="00794BDC" w:rsidP="00794BDC">
      <w:pPr>
        <w:rPr>
          <w:rFonts w:asciiTheme="majorHAnsi" w:hAnsiTheme="majorHAnsi"/>
        </w:rPr>
      </w:pPr>
    </w:p>
    <w:p w14:paraId="4C83C6F9" w14:textId="77777777" w:rsidR="00794BDC" w:rsidRDefault="00794BDC" w:rsidP="00794BDC">
      <w:pPr>
        <w:rPr>
          <w:rFonts w:asciiTheme="majorHAnsi" w:hAnsiTheme="majorHAnsi"/>
        </w:rPr>
      </w:pPr>
      <w:r>
        <w:rPr>
          <w:rFonts w:asciiTheme="majorHAnsi" w:hAnsiTheme="majorHAnsi"/>
        </w:rPr>
        <w:t>Atlas eHealth country profiles: based on the findings of the second global survey of eHealth. Global Observatory for eHealth Series Volume 1. World Health Organization 2010.</w:t>
      </w:r>
    </w:p>
    <w:p w14:paraId="767528B4" w14:textId="77777777" w:rsidR="00794BDC" w:rsidRDefault="00794BDC" w:rsidP="00794BDC">
      <w:pPr>
        <w:rPr>
          <w:rFonts w:asciiTheme="majorHAnsi" w:hAnsiTheme="majorHAnsi"/>
        </w:rPr>
      </w:pPr>
    </w:p>
    <w:p w14:paraId="07A77F59" w14:textId="77777777" w:rsidR="00794BDC" w:rsidRDefault="00794BDC" w:rsidP="00794BDC">
      <w:pPr>
        <w:rPr>
          <w:rFonts w:asciiTheme="majorHAnsi" w:hAnsiTheme="majorHAnsi"/>
        </w:rPr>
      </w:pPr>
      <w:r>
        <w:rPr>
          <w:rFonts w:asciiTheme="majorHAnsi" w:hAnsiTheme="majorHAnsi"/>
        </w:rPr>
        <w:t>Telemedicine: opportunities and developments in Member States: report on the second global survey on eHealth 2009. Global Observatory for eHealth Series Volume 2. World Health Organization 2010.</w:t>
      </w:r>
    </w:p>
    <w:p w14:paraId="3FCD39D8" w14:textId="77777777" w:rsidR="00794BDC" w:rsidRDefault="00794BDC" w:rsidP="00794BDC">
      <w:pPr>
        <w:rPr>
          <w:rFonts w:asciiTheme="majorHAnsi" w:hAnsiTheme="majorHAnsi"/>
        </w:rPr>
      </w:pPr>
    </w:p>
    <w:p w14:paraId="3F30FC5E" w14:textId="77777777" w:rsidR="00794BDC" w:rsidRDefault="00794BDC" w:rsidP="00794BDC">
      <w:pPr>
        <w:rPr>
          <w:rFonts w:asciiTheme="majorHAnsi" w:hAnsiTheme="majorHAnsi"/>
        </w:rPr>
      </w:pPr>
      <w:r>
        <w:rPr>
          <w:rFonts w:asciiTheme="majorHAnsi" w:hAnsiTheme="majorHAnsi"/>
        </w:rPr>
        <w:t>mHealth: new horizons for health through mobile technologies: second global survey on eHealth. Global Observatory for eHealth Series Volume 3. World Health Organization 2011.</w:t>
      </w:r>
    </w:p>
    <w:p w14:paraId="554E8760" w14:textId="77777777" w:rsidR="00794BDC" w:rsidRDefault="00794BDC" w:rsidP="00794BDC">
      <w:pPr>
        <w:rPr>
          <w:rFonts w:asciiTheme="majorHAnsi" w:hAnsiTheme="majorHAnsi"/>
        </w:rPr>
      </w:pPr>
    </w:p>
    <w:p w14:paraId="40AC56ED" w14:textId="77777777" w:rsidR="00794BDC" w:rsidRDefault="00794BDC" w:rsidP="00794BDC">
      <w:pPr>
        <w:rPr>
          <w:rFonts w:asciiTheme="majorHAnsi" w:hAnsiTheme="majorHAnsi"/>
        </w:rPr>
      </w:pPr>
      <w:r>
        <w:rPr>
          <w:rFonts w:asciiTheme="majorHAnsi" w:hAnsiTheme="majorHAnsi"/>
        </w:rPr>
        <w:t>Safety and security on the Internet: challenges and advances in Member States: based on the findings of the second global survey on eHealth. Global Observatory for eHealth Series Volume 4. World Health Organization 2011.</w:t>
      </w:r>
    </w:p>
    <w:p w14:paraId="2E8F8EE7" w14:textId="77777777" w:rsidR="00794BDC" w:rsidRDefault="00794BDC" w:rsidP="00794BDC">
      <w:pPr>
        <w:rPr>
          <w:rFonts w:asciiTheme="majorHAnsi" w:hAnsiTheme="majorHAnsi"/>
        </w:rPr>
      </w:pPr>
    </w:p>
    <w:p w14:paraId="5469EE5C" w14:textId="77777777" w:rsidR="00794BDC" w:rsidRDefault="00794BDC" w:rsidP="00794BDC">
      <w:pPr>
        <w:rPr>
          <w:rFonts w:asciiTheme="majorHAnsi" w:hAnsiTheme="majorHAnsi"/>
        </w:rPr>
      </w:pPr>
      <w:r>
        <w:rPr>
          <w:rFonts w:asciiTheme="majorHAnsi" w:hAnsiTheme="majorHAnsi"/>
        </w:rPr>
        <w:t>Legal frameworks for eHealth: based on the findings of the second global survey on eHealth. Global Observatory for eHealth Series Volume 5. World Health Organization 2012.</w:t>
      </w:r>
    </w:p>
    <w:p w14:paraId="7EEA3355" w14:textId="77777777" w:rsidR="00794BDC" w:rsidRDefault="00794BDC" w:rsidP="00794BDC">
      <w:pPr>
        <w:rPr>
          <w:rFonts w:asciiTheme="majorHAnsi" w:hAnsiTheme="majorHAnsi"/>
        </w:rPr>
      </w:pPr>
    </w:p>
    <w:p w14:paraId="79C04401" w14:textId="77777777" w:rsidR="00794BDC" w:rsidRDefault="00794BDC" w:rsidP="00794BDC">
      <w:pPr>
        <w:rPr>
          <w:rFonts w:asciiTheme="majorHAnsi" w:hAnsiTheme="majorHAnsi"/>
        </w:rPr>
      </w:pPr>
      <w:r>
        <w:rPr>
          <w:rFonts w:asciiTheme="majorHAnsi" w:hAnsiTheme="majorHAnsi"/>
        </w:rPr>
        <w:t>Management of patient information: trends and challenges in Member States: based on the findings of the second global survey on eHealth. Global Observatory for eHealth Series Volume 6. World Health Organization 2012.</w:t>
      </w:r>
    </w:p>
    <w:p w14:paraId="5FFDCB6E" w14:textId="77777777" w:rsidR="00794BDC" w:rsidRDefault="00794BDC" w:rsidP="00794BDC">
      <w:pPr>
        <w:rPr>
          <w:rFonts w:asciiTheme="majorHAnsi" w:hAnsiTheme="majorHAnsi"/>
        </w:rPr>
      </w:pPr>
    </w:p>
    <w:p w14:paraId="2672188C" w14:textId="77777777" w:rsidR="00794BDC" w:rsidRDefault="00794BDC" w:rsidP="00794BDC">
      <w:pPr>
        <w:rPr>
          <w:rFonts w:asciiTheme="majorHAnsi" w:hAnsiTheme="majorHAnsi"/>
        </w:rPr>
      </w:pPr>
      <w:r>
        <w:rPr>
          <w:rFonts w:asciiTheme="majorHAnsi" w:hAnsiTheme="majorHAnsi"/>
        </w:rPr>
        <w:t>eHealth and innovation in women’s and children’s health: a baseline review: based on the findings of the 2013 survey of CoIA countries by the WHO Global Observatory for eHealth. World Health Organization 2014.</w:t>
      </w:r>
    </w:p>
    <w:p w14:paraId="022487AF" w14:textId="77777777" w:rsidR="00794BDC" w:rsidRDefault="00794BDC" w:rsidP="00794BDC">
      <w:pPr>
        <w:rPr>
          <w:rFonts w:asciiTheme="majorHAnsi" w:hAnsiTheme="majorHAnsi"/>
        </w:rPr>
      </w:pPr>
    </w:p>
    <w:p w14:paraId="4E75E95D" w14:textId="77777777" w:rsidR="00794BDC" w:rsidRPr="005B035C" w:rsidRDefault="00794BDC" w:rsidP="00794BDC">
      <w:pPr>
        <w:rPr>
          <w:rFonts w:asciiTheme="majorHAnsi" w:hAnsiTheme="majorHAnsi"/>
        </w:rPr>
      </w:pPr>
      <w:r>
        <w:rPr>
          <w:rFonts w:asciiTheme="majorHAnsi" w:hAnsiTheme="majorHAnsi"/>
        </w:rPr>
        <w:t>eHealth: Report by the Secretariat. World Health Organization, 16 December 2004.</w:t>
      </w:r>
    </w:p>
    <w:p w14:paraId="1C8675BF" w14:textId="77777777" w:rsidR="00794BDC" w:rsidRDefault="00794BDC" w:rsidP="00794BDC">
      <w:pPr>
        <w:rPr>
          <w:rFonts w:asciiTheme="majorHAnsi" w:hAnsiTheme="majorHAnsi"/>
          <w:b/>
        </w:rPr>
      </w:pPr>
    </w:p>
    <w:p w14:paraId="688A8E9C" w14:textId="77777777" w:rsidR="00393E81" w:rsidRDefault="00393E81" w:rsidP="00794BDC">
      <w:pPr>
        <w:rPr>
          <w:rFonts w:asciiTheme="majorHAnsi" w:hAnsiTheme="majorHAnsi"/>
          <w:b/>
        </w:rPr>
      </w:pPr>
    </w:p>
    <w:p w14:paraId="6D5FEC83" w14:textId="77777777" w:rsidR="00794BDC" w:rsidRDefault="00794BDC" w:rsidP="00794BDC">
      <w:pPr>
        <w:rPr>
          <w:rFonts w:asciiTheme="majorHAnsi" w:hAnsiTheme="majorHAnsi"/>
          <w:b/>
        </w:rPr>
      </w:pPr>
      <w:r>
        <w:rPr>
          <w:rFonts w:asciiTheme="majorHAnsi" w:hAnsiTheme="majorHAnsi"/>
          <w:b/>
        </w:rPr>
        <w:t>Guidance and Other Resources</w:t>
      </w:r>
    </w:p>
    <w:p w14:paraId="14014C69" w14:textId="77777777" w:rsidR="00794BDC" w:rsidRDefault="00794BDC" w:rsidP="00794BDC">
      <w:pPr>
        <w:rPr>
          <w:rFonts w:asciiTheme="majorHAnsi" w:hAnsiTheme="majorHAnsi"/>
          <w:b/>
        </w:rPr>
      </w:pPr>
    </w:p>
    <w:p w14:paraId="10DD2480" w14:textId="77777777" w:rsidR="00794BDC" w:rsidRDefault="00794BDC" w:rsidP="00794BDC">
      <w:pPr>
        <w:rPr>
          <w:rFonts w:asciiTheme="majorHAnsi" w:hAnsiTheme="majorHAnsi"/>
        </w:rPr>
      </w:pPr>
      <w:r>
        <w:rPr>
          <w:rFonts w:asciiTheme="majorHAnsi" w:hAnsiTheme="majorHAnsi"/>
        </w:rPr>
        <w:t>[Australia] Unlocking the Potential of Clinical IT: Best Practices in Deploying Systems to Manage Workflow Complexity. Council of International Hospitals 2008 Annual Meeting for Hospital and Health System Executives.</w:t>
      </w:r>
    </w:p>
    <w:p w14:paraId="0ECDF980" w14:textId="77777777" w:rsidR="00794BDC" w:rsidRDefault="00794BDC" w:rsidP="00794BDC">
      <w:pPr>
        <w:rPr>
          <w:rFonts w:asciiTheme="majorHAnsi" w:hAnsiTheme="majorHAnsi"/>
        </w:rPr>
      </w:pPr>
    </w:p>
    <w:p w14:paraId="0EE9636B" w14:textId="77777777" w:rsidR="00794BDC" w:rsidRDefault="00794BDC" w:rsidP="00794BDC">
      <w:pPr>
        <w:rPr>
          <w:rFonts w:asciiTheme="majorHAnsi" w:hAnsiTheme="majorHAnsi"/>
        </w:rPr>
      </w:pPr>
      <w:r w:rsidRPr="001F47B3">
        <w:rPr>
          <w:rFonts w:asciiTheme="majorHAnsi" w:hAnsiTheme="majorHAnsi"/>
        </w:rPr>
        <w:t>COBIT 5 A Business Framework for the Governance and Management of Enterprise IT. Information Systems Audit and Control Association, 2012.</w:t>
      </w:r>
    </w:p>
    <w:p w14:paraId="2A97B107" w14:textId="77777777" w:rsidR="00794BDC" w:rsidRDefault="00794BDC" w:rsidP="00794BDC">
      <w:pPr>
        <w:rPr>
          <w:rFonts w:asciiTheme="majorHAnsi" w:hAnsiTheme="majorHAnsi"/>
        </w:rPr>
      </w:pPr>
    </w:p>
    <w:p w14:paraId="186F1304" w14:textId="77777777" w:rsidR="00794BDC" w:rsidRPr="001F47B3" w:rsidRDefault="00794BDC" w:rsidP="00794BDC">
      <w:pPr>
        <w:rPr>
          <w:rFonts w:asciiTheme="majorHAnsi" w:hAnsiTheme="majorHAnsi"/>
        </w:rPr>
      </w:pPr>
      <w:r>
        <w:rPr>
          <w:rFonts w:asciiTheme="majorHAnsi" w:hAnsiTheme="majorHAnsi"/>
        </w:rPr>
        <w:t>Health Measurement and Accountability Post 2015: Five-Point Call to Action. Measurement and Accountability for Results in Health: A Common Agenda for the Post-2015 Era.</w:t>
      </w:r>
    </w:p>
    <w:p w14:paraId="78394024" w14:textId="77777777" w:rsidR="00794BDC" w:rsidRDefault="00794BDC" w:rsidP="00794BDC">
      <w:pPr>
        <w:rPr>
          <w:rFonts w:asciiTheme="majorHAnsi" w:hAnsiTheme="majorHAnsi"/>
        </w:rPr>
      </w:pPr>
    </w:p>
    <w:p w14:paraId="475E8E0D" w14:textId="77777777" w:rsidR="00794BDC" w:rsidRPr="001F47B3" w:rsidRDefault="00794BDC" w:rsidP="00794BDC">
      <w:pPr>
        <w:rPr>
          <w:rFonts w:asciiTheme="majorHAnsi" w:hAnsiTheme="majorHAnsi"/>
        </w:rPr>
      </w:pPr>
      <w:r>
        <w:rPr>
          <w:rFonts w:asciiTheme="majorHAnsi" w:hAnsiTheme="majorHAnsi"/>
        </w:rPr>
        <w:t>Smart Open Services for European Patients (epSOS) – Legal and Regulatory Perspectives, 2013.</w:t>
      </w:r>
    </w:p>
    <w:p w14:paraId="117C74FF" w14:textId="77777777" w:rsidR="00794BDC" w:rsidRDefault="00794BDC" w:rsidP="00794BDC">
      <w:pPr>
        <w:rPr>
          <w:rFonts w:asciiTheme="majorHAnsi" w:hAnsiTheme="majorHAnsi"/>
        </w:rPr>
      </w:pPr>
    </w:p>
    <w:p w14:paraId="6EA1202B" w14:textId="77777777" w:rsidR="00794BDC" w:rsidRDefault="00794BDC" w:rsidP="00794BDC">
      <w:pPr>
        <w:rPr>
          <w:rFonts w:asciiTheme="majorHAnsi" w:hAnsiTheme="majorHAnsi"/>
        </w:rPr>
      </w:pPr>
      <w:r>
        <w:rPr>
          <w:rFonts w:asciiTheme="majorHAnsi" w:hAnsiTheme="majorHAnsi"/>
        </w:rPr>
        <w:t>Smart Open Services for European Patients (epSOS) Letter to Contributors. 1 July 2014.</w:t>
      </w:r>
    </w:p>
    <w:p w14:paraId="365C010A" w14:textId="77777777" w:rsidR="00794BDC" w:rsidRDefault="00794BDC" w:rsidP="00794BDC">
      <w:pPr>
        <w:rPr>
          <w:rFonts w:asciiTheme="majorHAnsi" w:hAnsiTheme="majorHAnsi"/>
        </w:rPr>
      </w:pPr>
    </w:p>
    <w:p w14:paraId="02A0BA5F" w14:textId="77777777" w:rsidR="00794BDC" w:rsidRDefault="00794BDC" w:rsidP="00794BDC">
      <w:pPr>
        <w:rPr>
          <w:rFonts w:asciiTheme="majorHAnsi" w:hAnsiTheme="majorHAnsi"/>
        </w:rPr>
      </w:pPr>
      <w:r>
        <w:rPr>
          <w:rFonts w:asciiTheme="majorHAnsi" w:hAnsiTheme="majorHAnsi"/>
        </w:rPr>
        <w:t>Global Health Data Charter. World Economic Forum in collaboration with Deloitte Touche Tohmatsu, January 2011.</w:t>
      </w:r>
    </w:p>
    <w:p w14:paraId="6B1A8AE7" w14:textId="77777777" w:rsidR="00794BDC" w:rsidRDefault="00794BDC" w:rsidP="00794BDC">
      <w:pPr>
        <w:rPr>
          <w:rFonts w:asciiTheme="majorHAnsi" w:hAnsiTheme="majorHAnsi"/>
        </w:rPr>
      </w:pPr>
    </w:p>
    <w:p w14:paraId="744FA931" w14:textId="77777777" w:rsidR="00794BDC" w:rsidRDefault="00794BDC" w:rsidP="00794BDC">
      <w:pPr>
        <w:rPr>
          <w:rFonts w:asciiTheme="majorHAnsi" w:hAnsiTheme="majorHAnsi"/>
        </w:rPr>
      </w:pPr>
      <w:r>
        <w:rPr>
          <w:rFonts w:asciiTheme="majorHAnsi" w:hAnsiTheme="majorHAnsi"/>
        </w:rPr>
        <w:t>Information Governance: The Foundation for Effective eHealth. Accenture 2010.</w:t>
      </w:r>
    </w:p>
    <w:p w14:paraId="2F1AB583" w14:textId="77777777" w:rsidR="00794BDC" w:rsidRDefault="00794BDC" w:rsidP="00794BDC">
      <w:pPr>
        <w:rPr>
          <w:rFonts w:asciiTheme="majorHAnsi" w:hAnsiTheme="majorHAnsi"/>
        </w:rPr>
      </w:pPr>
    </w:p>
    <w:p w14:paraId="2EB22E0B" w14:textId="77777777" w:rsidR="00794BDC" w:rsidRDefault="00794BDC" w:rsidP="00794BDC">
      <w:pPr>
        <w:rPr>
          <w:rFonts w:asciiTheme="majorHAnsi" w:hAnsiTheme="majorHAnsi"/>
        </w:rPr>
      </w:pPr>
      <w:r>
        <w:rPr>
          <w:rFonts w:asciiTheme="majorHAnsi" w:hAnsiTheme="majorHAnsi"/>
        </w:rPr>
        <w:t>[New Zealand] Health Information Standards Organisation (HISO) 10029:2015 Health Information Security Framework. December 2015.</w:t>
      </w:r>
    </w:p>
    <w:p w14:paraId="049D3278" w14:textId="77777777" w:rsidR="00794BDC" w:rsidRDefault="00794BDC" w:rsidP="00794BDC">
      <w:pPr>
        <w:rPr>
          <w:rFonts w:asciiTheme="majorHAnsi" w:hAnsiTheme="majorHAnsi"/>
        </w:rPr>
      </w:pPr>
    </w:p>
    <w:p w14:paraId="1DA5CA3C" w14:textId="77777777" w:rsidR="00794BDC" w:rsidRDefault="00794BDC" w:rsidP="00794BDC">
      <w:pPr>
        <w:rPr>
          <w:rFonts w:asciiTheme="majorHAnsi" w:hAnsiTheme="majorHAnsi"/>
        </w:rPr>
      </w:pPr>
      <w:r>
        <w:rPr>
          <w:rFonts w:asciiTheme="majorHAnsi" w:hAnsiTheme="majorHAnsi"/>
        </w:rPr>
        <w:t>Taking Care of Business: a collaboration to define local health department business processes. Second Printing. Public Health Informatics Association 2008.</w:t>
      </w:r>
    </w:p>
    <w:p w14:paraId="7C4C32D0" w14:textId="77777777" w:rsidR="00794BDC" w:rsidRDefault="00794BDC" w:rsidP="00794BDC">
      <w:pPr>
        <w:rPr>
          <w:rFonts w:asciiTheme="majorHAnsi" w:hAnsiTheme="majorHAnsi"/>
        </w:rPr>
      </w:pPr>
    </w:p>
    <w:p w14:paraId="39D1FA7A" w14:textId="77777777" w:rsidR="002D19C0" w:rsidRDefault="00794BDC" w:rsidP="00EC0701">
      <w:pPr>
        <w:rPr>
          <w:rFonts w:asciiTheme="majorHAnsi" w:hAnsiTheme="majorHAnsi"/>
        </w:rPr>
        <w:sectPr w:rsidR="002D19C0">
          <w:footnotePr>
            <w:numFmt w:val="lowerLetter"/>
          </w:footnotePr>
          <w:pgSz w:w="12240" w:h="15840"/>
          <w:pgMar w:top="1440" w:right="1440" w:bottom="1440" w:left="1440" w:header="720" w:footer="720" w:gutter="0"/>
          <w:cols w:space="720"/>
          <w:docGrid w:linePitch="360"/>
        </w:sectPr>
      </w:pPr>
      <w:r>
        <w:rPr>
          <w:rFonts w:asciiTheme="majorHAnsi" w:hAnsiTheme="majorHAnsi"/>
        </w:rPr>
        <w:t>Joint Inter-Ministerial Policy Dialogue on eHealth Standardization and Second WHO Forum on eHealth Standardization and Interoperability, 10-11 February 2014. World Health Organization.</w:t>
      </w:r>
    </w:p>
    <w:p w14:paraId="4C22A637" w14:textId="49B712D0" w:rsidR="00820376" w:rsidRPr="00C624DD" w:rsidRDefault="00820376" w:rsidP="00820376">
      <w:pPr>
        <w:pStyle w:val="ListParagraph"/>
        <w:numPr>
          <w:ilvl w:val="0"/>
          <w:numId w:val="30"/>
        </w:numPr>
        <w:jc w:val="center"/>
        <w:rPr>
          <w:rFonts w:asciiTheme="majorHAnsi" w:hAnsiTheme="majorHAnsi"/>
          <w:b/>
          <w:sz w:val="28"/>
          <w:szCs w:val="28"/>
        </w:rPr>
      </w:pPr>
      <w:bookmarkStart w:id="26" w:name="_Ref446937898"/>
      <w:r>
        <w:rPr>
          <w:rFonts w:asciiTheme="majorHAnsi" w:hAnsiTheme="majorHAnsi"/>
          <w:b/>
          <w:sz w:val="28"/>
          <w:szCs w:val="28"/>
        </w:rPr>
        <w:t>Appendix C – Memorandum of Understanding Between Kambia District, Republic of Sierra Leone and Forécariah Prefecture, Republic of Guinea Concerning Surveillance of the Ebola Virus Disease and Coordination of Cross-Border Interventions</w:t>
      </w:r>
      <w:bookmarkEnd w:id="26"/>
    </w:p>
    <w:p w14:paraId="14482D10" w14:textId="77777777" w:rsidR="00820376" w:rsidRDefault="00820376" w:rsidP="00EC0701">
      <w:pPr>
        <w:rPr>
          <w:rFonts w:asciiTheme="majorHAnsi" w:hAnsiTheme="majorHAnsi"/>
        </w:rPr>
      </w:pPr>
    </w:p>
    <w:p w14:paraId="73C1ED1D" w14:textId="25A54BBC" w:rsidR="005350C6" w:rsidRDefault="005350C6" w:rsidP="00EC0701">
      <w:pPr>
        <w:rPr>
          <w:rFonts w:asciiTheme="majorHAnsi" w:hAnsiTheme="majorHAnsi"/>
        </w:rPr>
      </w:pPr>
      <w:r>
        <w:rPr>
          <w:rFonts w:asciiTheme="majorHAnsi" w:hAnsiTheme="majorHAnsi"/>
        </w:rPr>
        <w:t>Please double-click on the title page image below to open the document using Adobe Acrobat.</w:t>
      </w:r>
      <w:r w:rsidR="00E6664F">
        <w:rPr>
          <w:rFonts w:asciiTheme="majorHAnsi" w:hAnsiTheme="majorHAnsi"/>
        </w:rPr>
        <w:t xml:space="preserve"> Note, the link will only work through Microsoft Word.</w:t>
      </w:r>
    </w:p>
    <w:p w14:paraId="1223B1DC" w14:textId="5ECCA05E" w:rsidR="00EC0701" w:rsidRDefault="002D5714" w:rsidP="00900CD8">
      <w:pPr>
        <w:jc w:val="center"/>
        <w:rPr>
          <w:rFonts w:asciiTheme="majorHAnsi" w:hAnsiTheme="majorHAnsi"/>
        </w:rPr>
      </w:pPr>
      <w:r>
        <w:rPr>
          <w:rFonts w:asciiTheme="majorHAnsi" w:hAnsiTheme="majorHAnsi"/>
        </w:rPr>
        <w:object w:dxaOrig="9180" w:dyaOrig="11880" w14:anchorId="72A30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39.25pt" o:ole="">
            <v:imagedata r:id="rId52" o:title=""/>
          </v:shape>
          <o:OLEObject Type="Embed" ProgID="AcroExch.Document.DC" ShapeID="_x0000_i1025" DrawAspect="Content" ObjectID="_1540210082" r:id="rId53"/>
        </w:object>
      </w:r>
    </w:p>
    <w:p w14:paraId="37626DE9" w14:textId="5D8EC6A9" w:rsidR="002D5714" w:rsidRDefault="002D5714" w:rsidP="00EC0701">
      <w:pPr>
        <w:rPr>
          <w:rFonts w:asciiTheme="majorHAnsi" w:hAnsiTheme="majorHAnsi"/>
        </w:rPr>
      </w:pPr>
      <w:r w:rsidRPr="00900CD8">
        <w:rPr>
          <w:rFonts w:asciiTheme="majorHAnsi" w:hAnsiTheme="majorHAnsi"/>
          <w:b/>
        </w:rPr>
        <w:t>A</w:t>
      </w:r>
      <w:r w:rsidR="002248BE">
        <w:rPr>
          <w:rFonts w:asciiTheme="majorHAnsi" w:hAnsiTheme="majorHAnsi"/>
          <w:b/>
        </w:rPr>
        <w:t>nnexes</w:t>
      </w:r>
      <w:r w:rsidRPr="00900CD8">
        <w:rPr>
          <w:rFonts w:asciiTheme="majorHAnsi" w:hAnsiTheme="majorHAnsi"/>
          <w:b/>
        </w:rPr>
        <w:t xml:space="preserve"> for MOU</w:t>
      </w:r>
      <w:r>
        <w:rPr>
          <w:rFonts w:asciiTheme="majorHAnsi" w:hAnsiTheme="majorHAnsi"/>
          <w:b/>
        </w:rPr>
        <w:t xml:space="preserve"> (in French)</w:t>
      </w:r>
      <w:r>
        <w:rPr>
          <w:rFonts w:asciiTheme="majorHAnsi" w:hAnsiTheme="majorHAnsi"/>
        </w:rPr>
        <w:t>:</w:t>
      </w:r>
    </w:p>
    <w:p w14:paraId="561F4E6C" w14:textId="77777777" w:rsidR="002D5714" w:rsidRDefault="002D5714" w:rsidP="00EC0701">
      <w:pPr>
        <w:rPr>
          <w:rFonts w:asciiTheme="majorHAnsi" w:hAnsiTheme="majorHAnsi"/>
        </w:rPr>
      </w:pPr>
    </w:p>
    <w:p w14:paraId="441A729D" w14:textId="77777777" w:rsidR="002D5714" w:rsidRPr="002D5714" w:rsidRDefault="002D5714" w:rsidP="002D5714">
      <w:pPr>
        <w:spacing w:line="276" w:lineRule="auto"/>
        <w:jc w:val="right"/>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Annexe A :</w:t>
      </w:r>
    </w:p>
    <w:p w14:paraId="45ABC04F" w14:textId="77777777" w:rsidR="002D5714" w:rsidRPr="002D5714" w:rsidRDefault="002D5714" w:rsidP="002D5714">
      <w:pPr>
        <w:spacing w:line="276" w:lineRule="auto"/>
        <w:jc w:val="right"/>
        <w:rPr>
          <w:rFonts w:ascii="Calibri" w:eastAsia="PMingLiU" w:hAnsi="Calibri" w:cs="Arial"/>
          <w:b/>
          <w:sz w:val="22"/>
          <w:szCs w:val="22"/>
          <w:lang w:val="fr-CA" w:eastAsia="en-GB"/>
        </w:rPr>
      </w:pPr>
      <w:r w:rsidRPr="002D5714">
        <w:rPr>
          <w:rFonts w:ascii="Calibri" w:eastAsia="Times New Roman" w:hAnsi="Calibri" w:cs="Calibri"/>
          <w:b/>
          <w:bCs/>
          <w:sz w:val="22"/>
          <w:szCs w:val="22"/>
          <w:lang w:val="fr-FR" w:eastAsia="en-GB"/>
        </w:rPr>
        <w:t>Membres du Groupe de travail Transfrontalier</w:t>
      </w:r>
    </w:p>
    <w:p w14:paraId="68FD7748" w14:textId="77777777" w:rsidR="002D5714" w:rsidRPr="002D5714" w:rsidRDefault="002D5714" w:rsidP="002D5714">
      <w:pPr>
        <w:spacing w:line="276" w:lineRule="auto"/>
        <w:jc w:val="right"/>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7 mars 2015</w:t>
      </w:r>
    </w:p>
    <w:p w14:paraId="5ED5E42A" w14:textId="77777777" w:rsidR="002D5714" w:rsidRPr="002D5714" w:rsidRDefault="002D5714" w:rsidP="002D5714">
      <w:pPr>
        <w:spacing w:line="276" w:lineRule="auto"/>
        <w:jc w:val="right"/>
        <w:rPr>
          <w:rFonts w:ascii="Calibri" w:eastAsia="PMingLiU" w:hAnsi="Calibri" w:cs="Arial"/>
          <w:sz w:val="22"/>
          <w:szCs w:val="22"/>
          <w:lang w:val="fr-CA" w:eastAsia="en-GB"/>
        </w:rPr>
      </w:pPr>
    </w:p>
    <w:p w14:paraId="4E9F0562" w14:textId="77777777" w:rsidR="002D5714" w:rsidRPr="002D5714" w:rsidRDefault="002D5714" w:rsidP="002D5714">
      <w:pPr>
        <w:spacing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Les personnes suivantes sont membres du Groupe de travail Transfrontalier. Ce groupe de travail a accepté de se réunir toutes les deux semaines dans le but d’assurer la coordination transfrontalière.</w:t>
      </w:r>
    </w:p>
    <w:p w14:paraId="459E708B" w14:textId="77777777" w:rsidR="002D5714" w:rsidRPr="002D5714" w:rsidRDefault="002D5714" w:rsidP="002D5714">
      <w:pPr>
        <w:spacing w:line="276" w:lineRule="auto"/>
        <w:rPr>
          <w:rFonts w:ascii="Calibri" w:eastAsia="PMingLiU" w:hAnsi="Calibri" w:cs="Arial"/>
          <w:sz w:val="22"/>
          <w:szCs w:val="22"/>
          <w:lang w:val="fr-CA" w:eastAsia="en-GB"/>
        </w:rPr>
      </w:pPr>
    </w:p>
    <w:p w14:paraId="6A506C92" w14:textId="77777777" w:rsidR="002D5714" w:rsidRPr="002D5714" w:rsidRDefault="002D5714" w:rsidP="002D5714">
      <w:pPr>
        <w:spacing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Les réunions auront lieu alternativement à Kambia, en Sierra Leone, et à Pamelap, en Guinée.</w:t>
      </w:r>
    </w:p>
    <w:p w14:paraId="2A620258" w14:textId="77777777" w:rsidR="002D5714" w:rsidRPr="002D5714" w:rsidRDefault="002D5714" w:rsidP="002D5714">
      <w:pPr>
        <w:spacing w:line="276" w:lineRule="auto"/>
        <w:rPr>
          <w:rFonts w:ascii="Calibri" w:eastAsia="PMingLiU" w:hAnsi="Calibri" w:cs="Arial"/>
          <w:sz w:val="22"/>
          <w:szCs w:val="22"/>
          <w:lang w:val="fr-CA"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3"/>
        <w:gridCol w:w="2061"/>
        <w:gridCol w:w="2517"/>
        <w:gridCol w:w="2295"/>
      </w:tblGrid>
      <w:tr w:rsidR="002D5714" w:rsidRPr="002D5714" w14:paraId="3E699BDD" w14:textId="77777777" w:rsidTr="002D5714">
        <w:tc>
          <w:tcPr>
            <w:tcW w:w="2780" w:type="dxa"/>
            <w:tcBorders>
              <w:top w:val="single" w:sz="4" w:space="0" w:color="auto"/>
              <w:left w:val="single" w:sz="4" w:space="0" w:color="auto"/>
              <w:bottom w:val="single" w:sz="4" w:space="0" w:color="auto"/>
              <w:right w:val="single" w:sz="4" w:space="0" w:color="auto"/>
            </w:tcBorders>
            <w:hideMark/>
          </w:tcPr>
          <w:p w14:paraId="0D00B3A0"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Forécariah, Guinée</w:t>
            </w:r>
          </w:p>
        </w:tc>
        <w:tc>
          <w:tcPr>
            <w:tcW w:w="2145" w:type="dxa"/>
            <w:tcBorders>
              <w:top w:val="single" w:sz="4" w:space="0" w:color="auto"/>
              <w:left w:val="single" w:sz="4" w:space="0" w:color="auto"/>
              <w:bottom w:val="single" w:sz="4" w:space="0" w:color="auto"/>
              <w:right w:val="single" w:sz="4" w:space="0" w:color="auto"/>
            </w:tcBorders>
            <w:hideMark/>
          </w:tcPr>
          <w:p w14:paraId="6EF7C9CE"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Nom</w:t>
            </w:r>
          </w:p>
        </w:tc>
        <w:tc>
          <w:tcPr>
            <w:tcW w:w="2583" w:type="dxa"/>
            <w:tcBorders>
              <w:top w:val="single" w:sz="4" w:space="0" w:color="auto"/>
              <w:left w:val="single" w:sz="4" w:space="0" w:color="auto"/>
              <w:bottom w:val="single" w:sz="4" w:space="0" w:color="auto"/>
              <w:right w:val="single" w:sz="4" w:space="0" w:color="auto"/>
            </w:tcBorders>
            <w:hideMark/>
          </w:tcPr>
          <w:p w14:paraId="3305C505"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Kambia, Sierra Leone</w:t>
            </w:r>
          </w:p>
        </w:tc>
        <w:tc>
          <w:tcPr>
            <w:tcW w:w="2347" w:type="dxa"/>
            <w:tcBorders>
              <w:top w:val="single" w:sz="4" w:space="0" w:color="auto"/>
              <w:left w:val="single" w:sz="4" w:space="0" w:color="auto"/>
              <w:bottom w:val="single" w:sz="4" w:space="0" w:color="auto"/>
              <w:right w:val="single" w:sz="4" w:space="0" w:color="auto"/>
            </w:tcBorders>
            <w:hideMark/>
          </w:tcPr>
          <w:p w14:paraId="7F641AEB"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Nom</w:t>
            </w:r>
          </w:p>
        </w:tc>
      </w:tr>
      <w:tr w:rsidR="002D5714" w:rsidRPr="002D5714" w14:paraId="1824486F" w14:textId="77777777" w:rsidTr="002D5714">
        <w:tc>
          <w:tcPr>
            <w:tcW w:w="2780" w:type="dxa"/>
            <w:tcBorders>
              <w:top w:val="single" w:sz="4" w:space="0" w:color="auto"/>
              <w:left w:val="single" w:sz="4" w:space="0" w:color="auto"/>
              <w:bottom w:val="single" w:sz="4" w:space="0" w:color="auto"/>
              <w:right w:val="single" w:sz="4" w:space="0" w:color="auto"/>
            </w:tcBorders>
          </w:tcPr>
          <w:p w14:paraId="748D35BD"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Préfet de Forécariah</w:t>
            </w:r>
          </w:p>
          <w:p w14:paraId="6853864C"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 xml:space="preserve">Sous-préfet de Pamelap </w:t>
            </w:r>
          </w:p>
          <w:p w14:paraId="67540E5D"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Coordinateur Ébola</w:t>
            </w:r>
          </w:p>
          <w:p w14:paraId="1EB7F030" w14:textId="77777777" w:rsidR="002D5714" w:rsidRPr="002D5714" w:rsidRDefault="002D5714" w:rsidP="002D5714">
            <w:pPr>
              <w:rPr>
                <w:rFonts w:ascii="Calibri" w:eastAsia="PMingLiU" w:hAnsi="Calibri" w:cs="Arial"/>
                <w:i/>
                <w:sz w:val="22"/>
                <w:szCs w:val="22"/>
                <w:lang w:val="fr-CA" w:eastAsia="en-GB"/>
              </w:rPr>
            </w:pPr>
            <w:r w:rsidRPr="002D5714">
              <w:rPr>
                <w:rFonts w:ascii="Calibri" w:eastAsia="Times New Roman" w:hAnsi="Calibri" w:cs="Calibri"/>
                <w:i/>
                <w:iCs/>
                <w:sz w:val="22"/>
                <w:szCs w:val="22"/>
                <w:lang w:val="fr-FR" w:eastAsia="en-GB"/>
              </w:rPr>
              <w:t xml:space="preserve">Représentant pour la sécurité </w:t>
            </w:r>
          </w:p>
          <w:p w14:paraId="11861238"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 de l’OMS</w:t>
            </w:r>
          </w:p>
          <w:p w14:paraId="5F75AB55"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 de l’Unicef</w:t>
            </w:r>
          </w:p>
          <w:p w14:paraId="403AD68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highlight w:val="yellow"/>
                <w:lang w:val="fr-FR" w:eastAsia="en-GB"/>
              </w:rPr>
              <w:t>Qui d’autre ?</w:t>
            </w:r>
          </w:p>
          <w:p w14:paraId="2C452CDF" w14:textId="77777777" w:rsidR="002D5714" w:rsidRPr="002D5714" w:rsidRDefault="002D5714" w:rsidP="002D5714">
            <w:pPr>
              <w:rPr>
                <w:rFonts w:ascii="Calibri" w:eastAsia="PMingLiU" w:hAnsi="Calibri" w:cs="Arial"/>
                <w:sz w:val="22"/>
                <w:szCs w:val="22"/>
                <w:lang w:val="en-GB" w:eastAsia="en-GB"/>
              </w:rPr>
            </w:pPr>
          </w:p>
        </w:tc>
        <w:tc>
          <w:tcPr>
            <w:tcW w:w="2145" w:type="dxa"/>
            <w:tcBorders>
              <w:top w:val="single" w:sz="4" w:space="0" w:color="auto"/>
              <w:left w:val="single" w:sz="4" w:space="0" w:color="auto"/>
              <w:bottom w:val="single" w:sz="4" w:space="0" w:color="auto"/>
              <w:right w:val="single" w:sz="4" w:space="0" w:color="auto"/>
            </w:tcBorders>
          </w:tcPr>
          <w:p w14:paraId="74D73E73" w14:textId="77777777" w:rsidR="002D5714" w:rsidRPr="002D5714" w:rsidRDefault="002D5714" w:rsidP="002D5714">
            <w:pPr>
              <w:rPr>
                <w:rFonts w:ascii="Calibri" w:eastAsia="PMingLiU" w:hAnsi="Calibri" w:cs="Arial"/>
                <w:sz w:val="22"/>
                <w:szCs w:val="22"/>
                <w:lang w:val="en-GB" w:eastAsia="en-GB"/>
              </w:rPr>
            </w:pPr>
          </w:p>
        </w:tc>
        <w:tc>
          <w:tcPr>
            <w:tcW w:w="2583" w:type="dxa"/>
            <w:tcBorders>
              <w:top w:val="single" w:sz="4" w:space="0" w:color="auto"/>
              <w:left w:val="single" w:sz="4" w:space="0" w:color="auto"/>
              <w:bottom w:val="single" w:sz="4" w:space="0" w:color="auto"/>
              <w:right w:val="single" w:sz="4" w:space="0" w:color="auto"/>
            </w:tcBorders>
          </w:tcPr>
          <w:p w14:paraId="0083C103" w14:textId="77777777" w:rsidR="002D5714" w:rsidRPr="002D5714" w:rsidRDefault="002D5714" w:rsidP="002D5714">
            <w:pPr>
              <w:rPr>
                <w:rFonts w:ascii="Calibri" w:eastAsia="PMingLiU" w:hAnsi="Calibri" w:cs="Arial"/>
                <w:sz w:val="22"/>
                <w:szCs w:val="22"/>
                <w:lang w:val="pt-PT" w:eastAsia="en-GB"/>
              </w:rPr>
            </w:pPr>
            <w:r w:rsidRPr="002D5714">
              <w:rPr>
                <w:rFonts w:ascii="Calibri" w:eastAsia="Times New Roman" w:hAnsi="Calibri" w:cs="Calibri"/>
                <w:sz w:val="22"/>
                <w:szCs w:val="22"/>
                <w:lang w:val="pt-BR" w:eastAsia="en-GB"/>
              </w:rPr>
              <w:t>DC</w:t>
            </w:r>
          </w:p>
          <w:p w14:paraId="59902D89" w14:textId="77777777" w:rsidR="002D5714" w:rsidRPr="002D5714" w:rsidRDefault="002D5714" w:rsidP="002D5714">
            <w:pPr>
              <w:rPr>
                <w:rFonts w:ascii="Calibri" w:eastAsia="PMingLiU" w:hAnsi="Calibri" w:cs="Arial"/>
                <w:sz w:val="22"/>
                <w:szCs w:val="22"/>
                <w:lang w:val="pt-PT" w:eastAsia="en-GB"/>
              </w:rPr>
            </w:pPr>
            <w:r w:rsidRPr="002D5714">
              <w:rPr>
                <w:rFonts w:ascii="Calibri" w:eastAsia="Times New Roman" w:hAnsi="Calibri" w:cs="Calibri"/>
                <w:sz w:val="22"/>
                <w:szCs w:val="22"/>
                <w:lang w:val="pt-BR" w:eastAsia="en-GB"/>
              </w:rPr>
              <w:t>DMO</w:t>
            </w:r>
          </w:p>
          <w:p w14:paraId="0B2FC960" w14:textId="77777777" w:rsidR="002D5714" w:rsidRPr="002D5714" w:rsidRDefault="002D5714" w:rsidP="002D5714">
            <w:pPr>
              <w:rPr>
                <w:rFonts w:ascii="Calibri" w:eastAsia="PMingLiU" w:hAnsi="Calibri" w:cs="Arial"/>
                <w:sz w:val="22"/>
                <w:szCs w:val="22"/>
                <w:lang w:val="pt-PT" w:eastAsia="en-GB"/>
              </w:rPr>
            </w:pPr>
            <w:r w:rsidRPr="002D5714">
              <w:rPr>
                <w:rFonts w:ascii="Calibri" w:eastAsia="Times New Roman" w:hAnsi="Calibri" w:cs="Calibri"/>
                <w:sz w:val="22"/>
                <w:szCs w:val="22"/>
                <w:lang w:val="pt-BR" w:eastAsia="en-GB"/>
              </w:rPr>
              <w:t>DO</w:t>
            </w:r>
          </w:p>
          <w:p w14:paraId="434D1655" w14:textId="77777777" w:rsidR="002D5714" w:rsidRPr="002D5714" w:rsidRDefault="002D5714" w:rsidP="002D5714">
            <w:pPr>
              <w:rPr>
                <w:rFonts w:ascii="Calibri" w:eastAsia="PMingLiU" w:hAnsi="Calibri" w:cs="Arial"/>
                <w:sz w:val="22"/>
                <w:szCs w:val="22"/>
                <w:lang w:val="pt-PT" w:eastAsia="en-GB"/>
              </w:rPr>
            </w:pPr>
            <w:r w:rsidRPr="002D5714">
              <w:rPr>
                <w:rFonts w:ascii="Calibri" w:eastAsia="Times New Roman" w:hAnsi="Calibri" w:cs="Calibri"/>
                <w:sz w:val="22"/>
                <w:szCs w:val="22"/>
                <w:lang w:val="pt-BR" w:eastAsia="en-GB"/>
              </w:rPr>
              <w:t>CO 11 Inf Btn</w:t>
            </w:r>
          </w:p>
          <w:p w14:paraId="7F5E8607"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Police de la Sierra Leone (SLP)</w:t>
            </w:r>
          </w:p>
          <w:p w14:paraId="6848C1DC" w14:textId="77777777" w:rsidR="002D5714" w:rsidRPr="002D5714" w:rsidRDefault="002D5714" w:rsidP="002D5714">
            <w:pPr>
              <w:rPr>
                <w:rFonts w:ascii="Calibri" w:eastAsia="PMingLiU" w:hAnsi="Calibri" w:cs="Arial"/>
                <w:sz w:val="22"/>
                <w:szCs w:val="22"/>
                <w:lang w:val="fr-CA" w:eastAsia="en-GB"/>
              </w:rPr>
            </w:pPr>
          </w:p>
          <w:p w14:paraId="4A4216C6"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 de l’OMS</w:t>
            </w:r>
          </w:p>
          <w:p w14:paraId="64707B73"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 de l’Unicef</w:t>
            </w:r>
          </w:p>
          <w:p w14:paraId="4A3CDC98"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 du Royaume-Uni</w:t>
            </w:r>
          </w:p>
          <w:p w14:paraId="1BE789B0"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MSF</w:t>
            </w:r>
          </w:p>
          <w:p w14:paraId="1C99EFF1"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CDC</w:t>
            </w:r>
          </w:p>
          <w:p w14:paraId="5896C392"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 xml:space="preserve">Chef d’État-major (COS) – Forces armées de la République de Sierra Leone (RSLAF) </w:t>
            </w:r>
          </w:p>
          <w:p w14:paraId="2AD99BC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Société civile</w:t>
            </w:r>
          </w:p>
          <w:p w14:paraId="7939A55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 xml:space="preserve">Chefs principaux </w:t>
            </w:r>
          </w:p>
        </w:tc>
        <w:tc>
          <w:tcPr>
            <w:tcW w:w="2347" w:type="dxa"/>
            <w:tcBorders>
              <w:top w:val="single" w:sz="4" w:space="0" w:color="auto"/>
              <w:left w:val="single" w:sz="4" w:space="0" w:color="auto"/>
              <w:bottom w:val="single" w:sz="4" w:space="0" w:color="auto"/>
              <w:right w:val="single" w:sz="4" w:space="0" w:color="auto"/>
            </w:tcBorders>
          </w:tcPr>
          <w:p w14:paraId="3388CD1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Dr Alfred Kamara</w:t>
            </w:r>
          </w:p>
          <w:p w14:paraId="223137D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Dr Sesay</w:t>
            </w:r>
          </w:p>
          <w:p w14:paraId="5537DAF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Abu Kamara</w:t>
            </w:r>
          </w:p>
          <w:p w14:paraId="5AD827D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Lt. Col. Conteh RSLAF</w:t>
            </w:r>
          </w:p>
          <w:p w14:paraId="317D7BC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Surintendant en chef Sesay</w:t>
            </w:r>
          </w:p>
          <w:p w14:paraId="36039515" w14:textId="77777777" w:rsidR="002D5714" w:rsidRPr="002D5714" w:rsidRDefault="002D5714" w:rsidP="002D5714">
            <w:pPr>
              <w:rPr>
                <w:rFonts w:ascii="Calibri" w:eastAsia="Times New Roman" w:hAnsi="Calibri" w:cs="Calibri"/>
                <w:sz w:val="22"/>
                <w:szCs w:val="22"/>
                <w:lang w:val="en-GB" w:eastAsia="en-GB"/>
              </w:rPr>
            </w:pPr>
          </w:p>
          <w:p w14:paraId="427B1B2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Margherita Ghiselli</w:t>
            </w:r>
          </w:p>
          <w:p w14:paraId="07CD567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en-GB" w:eastAsia="en-GB"/>
              </w:rPr>
              <w:t>Jerome Kouachi</w:t>
            </w:r>
          </w:p>
          <w:p w14:paraId="6B7A44DA" w14:textId="77777777" w:rsidR="002D5714" w:rsidRPr="002D5714" w:rsidRDefault="002D5714" w:rsidP="002D5714">
            <w:pPr>
              <w:rPr>
                <w:rFonts w:ascii="Calibri" w:eastAsia="Times New Roman" w:hAnsi="Calibri" w:cs="Calibri"/>
                <w:sz w:val="22"/>
                <w:szCs w:val="22"/>
                <w:lang w:eastAsia="en-GB"/>
              </w:rPr>
            </w:pPr>
          </w:p>
          <w:p w14:paraId="4CB05F8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eastAsia="en-GB"/>
              </w:rPr>
              <w:t>Mike McKie</w:t>
            </w:r>
          </w:p>
          <w:p w14:paraId="254E5D8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w:t>
            </w:r>
          </w:p>
          <w:p w14:paraId="4A67759D"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eastAsia="en-GB"/>
              </w:rPr>
              <w:t>Jeff Ratto</w:t>
            </w:r>
          </w:p>
          <w:p w14:paraId="7E17D2E3"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eastAsia="en-GB"/>
              </w:rPr>
              <w:t>Maj Sannoh</w:t>
            </w:r>
          </w:p>
          <w:p w14:paraId="730239E9" w14:textId="77777777" w:rsidR="002D5714" w:rsidRPr="002D5714" w:rsidRDefault="002D5714" w:rsidP="002D5714">
            <w:pPr>
              <w:rPr>
                <w:rFonts w:ascii="Calibri" w:eastAsia="Times New Roman" w:hAnsi="Calibri" w:cs="Calibri"/>
                <w:sz w:val="22"/>
                <w:szCs w:val="22"/>
                <w:lang w:val="en-GB" w:eastAsia="en-GB"/>
              </w:rPr>
            </w:pPr>
          </w:p>
          <w:p w14:paraId="37748B9E" w14:textId="77777777" w:rsidR="002D5714" w:rsidRPr="002D5714" w:rsidRDefault="002D5714" w:rsidP="002D5714">
            <w:pPr>
              <w:rPr>
                <w:rFonts w:ascii="Calibri" w:eastAsia="Times New Roman" w:hAnsi="Calibri" w:cs="Calibri"/>
                <w:sz w:val="22"/>
                <w:szCs w:val="22"/>
                <w:lang w:val="en-GB" w:eastAsia="en-GB"/>
              </w:rPr>
            </w:pPr>
          </w:p>
          <w:p w14:paraId="0D1CFC80" w14:textId="77777777" w:rsidR="002D5714" w:rsidRPr="002D5714" w:rsidRDefault="002D5714" w:rsidP="002D5714">
            <w:pPr>
              <w:rPr>
                <w:rFonts w:ascii="Calibri" w:eastAsia="Times New Roman" w:hAnsi="Calibri" w:cs="Calibri"/>
                <w:sz w:val="22"/>
                <w:szCs w:val="22"/>
                <w:lang w:val="en-GB" w:eastAsia="en-GB"/>
              </w:rPr>
            </w:pPr>
          </w:p>
          <w:p w14:paraId="2C0F74A5"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w:t>
            </w:r>
          </w:p>
          <w:p w14:paraId="67FAB5FB"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Représentant (par ex., Honorable PC YEK II (Samu))</w:t>
            </w:r>
          </w:p>
        </w:tc>
      </w:tr>
    </w:tbl>
    <w:p w14:paraId="42FB9388" w14:textId="77777777" w:rsidR="002D5714" w:rsidRPr="002D5714" w:rsidRDefault="002D5714" w:rsidP="002D5714">
      <w:pPr>
        <w:spacing w:line="276" w:lineRule="auto"/>
        <w:jc w:val="right"/>
        <w:rPr>
          <w:rFonts w:ascii="Calibri" w:eastAsia="PMingLiU" w:hAnsi="Calibri" w:cs="Arial"/>
          <w:sz w:val="22"/>
          <w:szCs w:val="22"/>
          <w:lang w:val="fr-CA" w:eastAsia="en-GB"/>
        </w:rPr>
      </w:pPr>
    </w:p>
    <w:p w14:paraId="48578DA4" w14:textId="77777777" w:rsidR="002D5714" w:rsidRPr="002D5714" w:rsidRDefault="002D5714" w:rsidP="002D5714">
      <w:pPr>
        <w:spacing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Les termes de référence pour les réunions sont les suivants :</w:t>
      </w:r>
    </w:p>
    <w:p w14:paraId="61E1A01F" w14:textId="77777777" w:rsidR="002D5714" w:rsidRPr="002D5714" w:rsidRDefault="002D5714" w:rsidP="002D5714">
      <w:pPr>
        <w:numPr>
          <w:ilvl w:val="0"/>
          <w:numId w:val="42"/>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Examen des conditions épidémiologiques tant à Forécariah qu’à Kambia</w:t>
      </w:r>
    </w:p>
    <w:p w14:paraId="27C8B368" w14:textId="77777777" w:rsidR="002D5714" w:rsidRPr="002D5714" w:rsidRDefault="002D5714" w:rsidP="002D5714">
      <w:pPr>
        <w:numPr>
          <w:ilvl w:val="0"/>
          <w:numId w:val="42"/>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Examen des incidents transfrontaliers depuis la dernière réunion et leçons apprises</w:t>
      </w:r>
    </w:p>
    <w:p w14:paraId="59977712" w14:textId="77777777" w:rsidR="002D5714" w:rsidRPr="002D5714" w:rsidRDefault="002D5714" w:rsidP="002D5714">
      <w:pPr>
        <w:numPr>
          <w:ilvl w:val="0"/>
          <w:numId w:val="42"/>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Examen des progrès accomplis par rapport au Protocole d’entente</w:t>
      </w:r>
    </w:p>
    <w:p w14:paraId="22BFC2A9" w14:textId="77777777" w:rsidR="002D5714" w:rsidRPr="002D5714" w:rsidRDefault="002D5714" w:rsidP="002D5714">
      <w:pPr>
        <w:numPr>
          <w:ilvl w:val="0"/>
          <w:numId w:val="42"/>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Examen des questions opérationnelles depuis la dernière réunion et recommandations de solutions</w:t>
      </w:r>
    </w:p>
    <w:p w14:paraId="319B8E0F" w14:textId="77777777" w:rsidR="002D5714" w:rsidRPr="002D5714" w:rsidRDefault="002D5714" w:rsidP="002D5714">
      <w:pPr>
        <w:spacing w:line="276" w:lineRule="auto"/>
        <w:ind w:left="720"/>
        <w:contextualSpacing/>
        <w:rPr>
          <w:rFonts w:ascii="Calibri" w:eastAsia="PMingLiU" w:hAnsi="Calibri" w:cs="Arial"/>
          <w:sz w:val="22"/>
          <w:szCs w:val="22"/>
          <w:highlight w:val="yellow"/>
          <w:lang w:val="fr-CA" w:eastAsia="en-GB"/>
        </w:rPr>
      </w:pPr>
    </w:p>
    <w:p w14:paraId="37A5A5EC" w14:textId="77777777" w:rsidR="002D5714" w:rsidRPr="002D5714" w:rsidRDefault="002D5714" w:rsidP="002D5714">
      <w:pPr>
        <w:spacing w:line="276" w:lineRule="auto"/>
        <w:jc w:val="right"/>
        <w:rPr>
          <w:rFonts w:ascii="Calibri" w:eastAsia="PMingLiU" w:hAnsi="Calibri" w:cs="Arial"/>
          <w:sz w:val="22"/>
          <w:szCs w:val="22"/>
          <w:lang w:val="fr-CA" w:eastAsia="en-GB"/>
        </w:rPr>
      </w:pPr>
    </w:p>
    <w:p w14:paraId="68DB2BB8"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PMingLiU" w:hAnsi="Calibri" w:cs="Arial"/>
          <w:sz w:val="22"/>
          <w:szCs w:val="22"/>
          <w:lang w:val="fr-CA" w:eastAsia="en-GB"/>
        </w:rPr>
        <w:br w:type="page"/>
      </w:r>
    </w:p>
    <w:p w14:paraId="3B291BA5" w14:textId="77777777" w:rsidR="002D5714" w:rsidRPr="002D5714" w:rsidRDefault="002D5714" w:rsidP="002D5714">
      <w:pPr>
        <w:spacing w:line="276" w:lineRule="auto"/>
        <w:jc w:val="right"/>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Annexe B</w:t>
      </w:r>
    </w:p>
    <w:p w14:paraId="33164EB3" w14:textId="77777777" w:rsidR="002D5714" w:rsidRPr="002D5714" w:rsidRDefault="002D5714" w:rsidP="002D5714">
      <w:pPr>
        <w:spacing w:line="276" w:lineRule="auto"/>
        <w:jc w:val="right"/>
        <w:rPr>
          <w:rFonts w:ascii="Calibri" w:eastAsia="PMingLiU" w:hAnsi="Calibri" w:cs="Arial"/>
          <w:b/>
          <w:sz w:val="22"/>
          <w:szCs w:val="22"/>
          <w:lang w:val="it-IT" w:eastAsia="en-GB"/>
        </w:rPr>
      </w:pPr>
      <w:r w:rsidRPr="002D5714">
        <w:rPr>
          <w:rFonts w:ascii="Calibri" w:eastAsia="Times New Roman" w:hAnsi="Calibri" w:cs="Calibri"/>
          <w:b/>
          <w:bCs/>
          <w:sz w:val="22"/>
          <w:szCs w:val="22"/>
          <w:lang w:val="fr-FR" w:eastAsia="en-GB"/>
        </w:rPr>
        <w:t>Formulaires</w:t>
      </w:r>
    </w:p>
    <w:p w14:paraId="79D606FC" w14:textId="77777777" w:rsidR="002D5714" w:rsidRPr="002D5714" w:rsidRDefault="002D5714" w:rsidP="002D5714">
      <w:pPr>
        <w:spacing w:line="276" w:lineRule="auto"/>
        <w:jc w:val="right"/>
        <w:rPr>
          <w:rFonts w:ascii="Calibri" w:eastAsia="PMingLiU" w:hAnsi="Calibri" w:cs="Arial"/>
          <w:sz w:val="22"/>
          <w:szCs w:val="22"/>
          <w:lang w:val="it-IT" w:eastAsia="en-GB"/>
        </w:rPr>
      </w:pPr>
      <w:r w:rsidRPr="002D5714">
        <w:rPr>
          <w:rFonts w:ascii="Calibri" w:eastAsia="Times New Roman" w:hAnsi="Calibri" w:cs="Calibri"/>
          <w:sz w:val="22"/>
          <w:szCs w:val="22"/>
          <w:lang w:val="fr-FR" w:eastAsia="en-GB"/>
        </w:rPr>
        <w:t>7 mars 2015</w:t>
      </w:r>
    </w:p>
    <w:p w14:paraId="22D6E936" w14:textId="77777777" w:rsidR="002D5714" w:rsidRPr="002D5714" w:rsidRDefault="002D5714" w:rsidP="002D5714">
      <w:pPr>
        <w:spacing w:line="276" w:lineRule="auto"/>
        <w:jc w:val="right"/>
        <w:rPr>
          <w:rFonts w:ascii="Calibri" w:eastAsia="PMingLiU" w:hAnsi="Calibri" w:cs="Arial"/>
          <w:sz w:val="22"/>
          <w:szCs w:val="22"/>
          <w:lang w:val="it-IT" w:eastAsia="en-GB"/>
        </w:rPr>
      </w:pPr>
    </w:p>
    <w:p w14:paraId="29BD733E"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 xml:space="preserve">Cette annexe présente les formulaires pro-forma à utiliser pour assurer la surveillance et le travail d’intervention à la frontière de Guinée/Sierra Leone, entre Forécariah et la Guinée. </w:t>
      </w:r>
    </w:p>
    <w:p w14:paraId="63FAD4F5"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Les formulaires ci-dessous sont les suivants :</w:t>
      </w:r>
    </w:p>
    <w:p w14:paraId="28C8A721" w14:textId="77777777" w:rsidR="002D5714" w:rsidRPr="002D5714" w:rsidRDefault="002D5714" w:rsidP="002D5714">
      <w:pPr>
        <w:numPr>
          <w:ilvl w:val="0"/>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b/>
          <w:bCs/>
          <w:sz w:val="22"/>
          <w:szCs w:val="22"/>
          <w:lang w:val="fr-FR" w:eastAsia="en-GB"/>
        </w:rPr>
        <w:t xml:space="preserve">Formulaire de renseignements transfrontaliers </w:t>
      </w:r>
      <w:r w:rsidRPr="002D5714">
        <w:rPr>
          <w:rFonts w:ascii="Calibri" w:eastAsia="Times New Roman" w:hAnsi="Calibri" w:cs="Calibri"/>
          <w:sz w:val="22"/>
          <w:szCs w:val="22"/>
          <w:lang w:val="fr-FR" w:eastAsia="en-GB"/>
        </w:rPr>
        <w:t>(en français et en anglais) à utiliser lorsqu’un cas confirmé a des liens de l’autre côté de la frontière.</w:t>
      </w:r>
    </w:p>
    <w:p w14:paraId="34C05496" w14:textId="77777777" w:rsidR="002D5714" w:rsidRPr="002D5714" w:rsidRDefault="002D5714" w:rsidP="002D5714">
      <w:pPr>
        <w:numPr>
          <w:ilvl w:val="1"/>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En présence d’un cas confirmé ayant des liens de l’autre côté de la frontière, l’équipe chargée de l’enquête appellera la ligne d’alerte pour informer du besoin d’enquête/suivi de contact transfrontaliers :</w:t>
      </w:r>
    </w:p>
    <w:p w14:paraId="5179CFCA" w14:textId="77777777" w:rsidR="002D5714" w:rsidRPr="002D5714" w:rsidRDefault="002D5714" w:rsidP="002D5714">
      <w:pPr>
        <w:numPr>
          <w:ilvl w:val="2"/>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Bureau d’alerte de Forécariah : +224 694188129 ou +224 624188130</w:t>
      </w:r>
    </w:p>
    <w:p w14:paraId="4925554B" w14:textId="77777777" w:rsidR="002D5714" w:rsidRPr="002D5714" w:rsidRDefault="002D5714" w:rsidP="002D5714">
      <w:pPr>
        <w:numPr>
          <w:ilvl w:val="2"/>
          <w:numId w:val="43"/>
        </w:numPr>
        <w:spacing w:after="200" w:line="276" w:lineRule="auto"/>
        <w:contextualSpacing/>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Bureau d’alerte de Kambia : +232 77845479 ou +232 77842507</w:t>
      </w:r>
    </w:p>
    <w:p w14:paraId="38460114" w14:textId="77777777" w:rsidR="002D5714" w:rsidRPr="002D5714" w:rsidRDefault="002D5714" w:rsidP="002D5714">
      <w:pPr>
        <w:numPr>
          <w:ilvl w:val="1"/>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 xml:space="preserve">La personne recevant l’alerte informera MSF à Kambia ou le chef de l’OMS à Forécariah. À Forécariah, le chef de l’OMS affectera un enquêteur pour le cas et informera l’équipe MSF en envoyant un SMS au numéro de téléphone suivant : +232 79515704 ; ou en envoyant un message électronique à l’adresse : </w:t>
      </w:r>
      <w:hyperlink r:id="rId54" w:history="1">
        <w:r w:rsidRPr="002D5714">
          <w:rPr>
            <w:rFonts w:ascii="Calibri" w:eastAsia="Times New Roman" w:hAnsi="Calibri" w:cs="Calibri"/>
            <w:color w:val="0000FF"/>
            <w:sz w:val="22"/>
            <w:szCs w:val="22"/>
            <w:u w:val="single"/>
            <w:lang w:val="fr-FR" w:eastAsia="en-GB"/>
          </w:rPr>
          <w:t>evdbordersil@gmail.com</w:t>
        </w:r>
      </w:hyperlink>
    </w:p>
    <w:p w14:paraId="70A42624" w14:textId="77777777" w:rsidR="002D5714" w:rsidRPr="002D5714" w:rsidRDefault="002D5714" w:rsidP="002D5714">
      <w:pPr>
        <w:numPr>
          <w:ilvl w:val="1"/>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L’équipe chargée de l’enquête remplira le « Formulaire d’enquête transfrontalière » (ci-dessous), incluant le minimum de renseignements nécessaires pour l’enquête/le suivi du contact au-delà de la frontière et les coordonnées du contact dans le cas en question, ainsi que celles du responsable de la surveillance. À Kambia, l’enquêteur remettra le formulaire rempli à l’équipe MSF qui le traduira en français.</w:t>
      </w:r>
    </w:p>
    <w:p w14:paraId="64583706" w14:textId="77777777" w:rsidR="002D5714" w:rsidRPr="002D5714" w:rsidRDefault="002D5714" w:rsidP="002D5714">
      <w:pPr>
        <w:numPr>
          <w:ilvl w:val="1"/>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L’enquêteur de l’OMS (à Forécariah) ou l’équipe MSF (à Kambia) fera suivre le formulaire rempli via courrier électronique à :</w:t>
      </w:r>
    </w:p>
    <w:p w14:paraId="2743DC70" w14:textId="77777777" w:rsidR="002D5714" w:rsidRPr="002D5714" w:rsidRDefault="00BB0ADA" w:rsidP="002D5714">
      <w:pPr>
        <w:numPr>
          <w:ilvl w:val="2"/>
          <w:numId w:val="43"/>
        </w:numPr>
        <w:spacing w:after="200" w:line="276" w:lineRule="auto"/>
        <w:contextualSpacing/>
        <w:rPr>
          <w:rFonts w:ascii="Calibri" w:eastAsia="PMingLiU" w:hAnsi="Calibri" w:cs="Arial"/>
          <w:sz w:val="22"/>
          <w:szCs w:val="22"/>
          <w:lang w:val="en-GB" w:eastAsia="en-GB"/>
        </w:rPr>
      </w:pPr>
      <w:hyperlink r:id="rId55" w:history="1">
        <w:r w:rsidR="002D5714" w:rsidRPr="002D5714">
          <w:rPr>
            <w:rFonts w:ascii="Calibri" w:eastAsia="Times New Roman" w:hAnsi="Calibri" w:cs="Calibri"/>
            <w:color w:val="0000FF"/>
            <w:sz w:val="22"/>
            <w:szCs w:val="22"/>
            <w:u w:val="single"/>
            <w:lang w:val="fr-FR" w:eastAsia="en-GB"/>
          </w:rPr>
          <w:t>evdbordersil@gmail.com</w:t>
        </w:r>
      </w:hyperlink>
      <w:r w:rsidR="002D5714" w:rsidRPr="002D5714">
        <w:rPr>
          <w:rFonts w:ascii="Calibri" w:eastAsia="Times New Roman" w:hAnsi="Calibri" w:cs="Calibri"/>
          <w:sz w:val="22"/>
          <w:szCs w:val="22"/>
          <w:lang w:val="fr-FR" w:eastAsia="en-GB"/>
        </w:rPr>
        <w:t xml:space="preserve"> (mot de passe : whowhowho) – Kambia, Sierra Leone</w:t>
      </w:r>
    </w:p>
    <w:p w14:paraId="71823CB4" w14:textId="77777777" w:rsidR="002D5714" w:rsidRDefault="00BB0ADA" w:rsidP="00900CD8">
      <w:pPr>
        <w:numPr>
          <w:ilvl w:val="2"/>
          <w:numId w:val="43"/>
        </w:numPr>
        <w:spacing w:after="200" w:line="276" w:lineRule="auto"/>
        <w:contextualSpacing/>
        <w:rPr>
          <w:rFonts w:ascii="Calibri" w:eastAsia="PMingLiU" w:hAnsi="Calibri" w:cs="Arial"/>
          <w:sz w:val="22"/>
          <w:szCs w:val="22"/>
          <w:lang w:val="fr-CA" w:eastAsia="en-GB"/>
        </w:rPr>
      </w:pPr>
      <w:hyperlink r:id="rId56" w:history="1">
        <w:r w:rsidR="002D5714" w:rsidRPr="002D5714">
          <w:rPr>
            <w:rFonts w:ascii="Calibri" w:eastAsia="Times New Roman" w:hAnsi="Calibri" w:cs="Calibri"/>
            <w:color w:val="0000FF"/>
            <w:sz w:val="22"/>
            <w:szCs w:val="22"/>
            <w:u w:val="single"/>
            <w:lang w:val="fr-FR" w:eastAsia="en-GB"/>
          </w:rPr>
          <w:t>ebolabordergui@gmail.com</w:t>
        </w:r>
      </w:hyperlink>
      <w:r w:rsidR="002D5714" w:rsidRPr="002D5714">
        <w:rPr>
          <w:rFonts w:ascii="Calibri" w:eastAsia="Times New Roman" w:hAnsi="Calibri" w:cs="Calibri"/>
          <w:sz w:val="22"/>
          <w:szCs w:val="22"/>
          <w:lang w:val="fr-FR" w:eastAsia="en-GB"/>
        </w:rPr>
        <w:t xml:space="preserve"> (mot de passe : omsomsoms) – Forécariah, Guinée</w:t>
      </w:r>
    </w:p>
    <w:p w14:paraId="4C1BF644" w14:textId="2C5FA84C" w:rsidR="002D5714" w:rsidRPr="00900CD8" w:rsidRDefault="002D5714" w:rsidP="00900CD8">
      <w:pPr>
        <w:numPr>
          <w:ilvl w:val="1"/>
          <w:numId w:val="43"/>
        </w:numPr>
        <w:spacing w:after="200" w:line="276" w:lineRule="auto"/>
        <w:contextualSpacing/>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Les équipes d’enquêtes transfrontalières communiqueront régulièrement par téléphone pendant le suivi. Une équipe d’enquête conjointe pourra être établie, si possible</w:t>
      </w:r>
    </w:p>
    <w:p w14:paraId="58C42DF8" w14:textId="77777777" w:rsidR="002D5714" w:rsidRDefault="002D5714" w:rsidP="00EC0701">
      <w:pPr>
        <w:rPr>
          <w:rFonts w:asciiTheme="majorHAnsi" w:hAnsiTheme="majorHAnsi"/>
        </w:rPr>
        <w:sectPr w:rsidR="002D5714">
          <w:footnotePr>
            <w:numFmt w:val="lowerLetter"/>
          </w:footnotePr>
          <w:pgSz w:w="12240" w:h="15840"/>
          <w:pgMar w:top="1440" w:right="1440" w:bottom="1440" w:left="1440" w:header="720" w:footer="720" w:gutter="0"/>
          <w:cols w:space="720"/>
          <w:docGrid w:linePitch="360"/>
        </w:sectPr>
      </w:pPr>
    </w:p>
    <w:p w14:paraId="615F9E9E" w14:textId="77777777" w:rsidR="002D5714" w:rsidRPr="002D5714" w:rsidRDefault="002D5714" w:rsidP="002D5714">
      <w:pPr>
        <w:tabs>
          <w:tab w:val="left" w:pos="4410"/>
        </w:tabs>
        <w:spacing w:after="200" w:line="276" w:lineRule="auto"/>
        <w:jc w:val="center"/>
        <w:rPr>
          <w:rFonts w:ascii="Calibri" w:eastAsia="PMingLiU" w:hAnsi="Calibri" w:cs="Arial"/>
          <w:b/>
          <w:lang w:val="fr-FR" w:eastAsia="en-GB"/>
        </w:rPr>
      </w:pPr>
      <w:r w:rsidRPr="002D5714">
        <w:rPr>
          <w:rFonts w:ascii="Calibri" w:eastAsia="PMingLiU" w:hAnsi="Calibri" w:cs="Arial"/>
          <w:b/>
          <w:lang w:val="fr-FR" w:eastAsia="en-GB"/>
        </w:rPr>
        <w:t>Fiche d’information transfrontalière</w:t>
      </w:r>
    </w:p>
    <w:tbl>
      <w:tblPr>
        <w:tblW w:w="5000" w:type="pct"/>
        <w:tblCellMar>
          <w:left w:w="0" w:type="dxa"/>
          <w:right w:w="0" w:type="dxa"/>
        </w:tblCellMar>
        <w:tblLook w:val="0020" w:firstRow="1" w:lastRow="0" w:firstColumn="0" w:lastColumn="0" w:noHBand="0" w:noVBand="0"/>
      </w:tblPr>
      <w:tblGrid>
        <w:gridCol w:w="4860"/>
        <w:gridCol w:w="4474"/>
        <w:gridCol w:w="6353"/>
      </w:tblGrid>
      <w:tr w:rsidR="002D5714" w:rsidRPr="002D5714" w14:paraId="2C229290" w14:textId="77777777" w:rsidTr="002D5714">
        <w:trPr>
          <w:trHeight w:hRule="exact" w:val="432"/>
        </w:trPr>
        <w:tc>
          <w:tcPr>
            <w:tcW w:w="1549" w:type="pct"/>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vAlign w:val="center"/>
            <w:hideMark/>
          </w:tcPr>
          <w:p w14:paraId="2C550092"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Nom/prénom du cas</w:t>
            </w:r>
          </w:p>
        </w:tc>
        <w:tc>
          <w:tcPr>
            <w:tcW w:w="3451" w:type="pct"/>
            <w:gridSpan w:val="2"/>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tcPr>
          <w:p w14:paraId="5403AD77"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687A6B0D" w14:textId="77777777" w:rsidTr="002D5714">
        <w:trPr>
          <w:trHeight w:hRule="exact" w:val="432"/>
        </w:trPr>
        <w:tc>
          <w:tcPr>
            <w:tcW w:w="154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5D5A1B"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Date:</w:t>
            </w: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5695B4"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Numéro d’identification</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9B9D056"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24ED83A5" w14:textId="77777777" w:rsidTr="002D5714">
        <w:trPr>
          <w:trHeight w:hRule="exact" w:val="432"/>
        </w:trPr>
        <w:tc>
          <w:tcPr>
            <w:tcW w:w="154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69BCA5" w14:textId="77777777" w:rsidR="002D5714" w:rsidRPr="002D5714" w:rsidRDefault="002D5714" w:rsidP="002D5714">
            <w:pPr>
              <w:spacing w:after="200" w:line="276" w:lineRule="auto"/>
              <w:rPr>
                <w:rFonts w:ascii="Calibri" w:eastAsia="PMingLiU" w:hAnsi="Calibri" w:cs="Arial"/>
                <w:b/>
                <w:sz w:val="22"/>
                <w:szCs w:val="22"/>
                <w:lang w:val="fr-FR" w:eastAsia="en-GB"/>
              </w:rPr>
            </w:pPr>
            <w:r w:rsidRPr="002D5714">
              <w:rPr>
                <w:rFonts w:ascii="Calibri" w:eastAsia="PMingLiU" w:hAnsi="Calibri" w:cs="Arial"/>
                <w:b/>
                <w:sz w:val="22"/>
                <w:szCs w:val="22"/>
                <w:lang w:val="fr-FR" w:eastAsia="en-GB"/>
              </w:rPr>
              <w:t>Sommaire du cas:</w:t>
            </w: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76E77F"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 xml:space="preserve">Age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69BE003"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0782B2B1" w14:textId="77777777" w:rsidTr="002D5714">
        <w:trPr>
          <w:trHeight w:hRule="exact" w:val="432"/>
        </w:trPr>
        <w:tc>
          <w:tcPr>
            <w:tcW w:w="1549"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6E01F64" w14:textId="77777777" w:rsidR="002D5714" w:rsidRPr="002D5714" w:rsidRDefault="002D5714" w:rsidP="002D5714">
            <w:pPr>
              <w:spacing w:after="200" w:line="276" w:lineRule="auto"/>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211FFD"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Genre</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4D4EC86"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3238BB94" w14:textId="77777777" w:rsidTr="002D5714">
        <w:trPr>
          <w:trHeight w:hRule="exac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0DD3E4"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86B661"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 xml:space="preserve">Statut du cas (vivant ou décédé)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00F9E4D"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3083E967" w14:textId="77777777" w:rsidTr="002D5714">
        <w:trPr>
          <w:trHeight w:hRule="exac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80DACE"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56F9F5"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 xml:space="preserve">Adresse  et pays du domicile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2C02623"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3266A2A7" w14:textId="77777777" w:rsidTr="002D5714">
        <w:trPr>
          <w:trHeight w:hRule="exac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9DE258"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012035"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Préfecture/District</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3D9415"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51E72E4D" w14:textId="77777777" w:rsidTr="002D5714">
        <w:trPr>
          <w:trHeight w:hRule="exact" w:val="7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7A9CEA"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E27D7C"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 xml:space="preserve">Numéro de téléphone du cas et de la famille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F4D048"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73A16AD6" w14:textId="77777777" w:rsidTr="002D5714">
        <w:trPr>
          <w:trHeight w:hRule="exac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E81924"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193366"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Cas source: nom/prénom, adresse, no d’identification</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D5A82B"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3D646729" w14:textId="77777777" w:rsidTr="002D5714">
        <w:trPr>
          <w:trHeight w:hRule="exact" w:val="432"/>
        </w:trPr>
        <w:tc>
          <w:tcPr>
            <w:tcW w:w="1549"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128C7F31" w14:textId="77777777" w:rsidR="002D5714" w:rsidRPr="002D5714" w:rsidRDefault="002D5714" w:rsidP="002D5714">
            <w:pPr>
              <w:spacing w:after="200" w:line="276" w:lineRule="auto"/>
              <w:rPr>
                <w:rFonts w:ascii="Calibri" w:eastAsia="PMingLiU" w:hAnsi="Calibri" w:cs="Arial"/>
                <w:b/>
                <w:sz w:val="22"/>
                <w:szCs w:val="22"/>
                <w:lang w:val="fr-FR" w:eastAsia="en-GB"/>
              </w:rPr>
            </w:pPr>
            <w:r w:rsidRPr="002D5714">
              <w:rPr>
                <w:rFonts w:ascii="Calibri" w:eastAsia="PMingLiU" w:hAnsi="Calibri" w:cs="Arial"/>
                <w:b/>
                <w:sz w:val="22"/>
                <w:szCs w:val="22"/>
                <w:lang w:val="fr-FR" w:eastAsia="en-GB"/>
              </w:rPr>
              <w:t>Eléments d’importance  transfrontaliers:</w:t>
            </w: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F84069"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Début des symptômes</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CBCC2A"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477632D6" w14:textId="77777777" w:rsidTr="002D5714">
        <w:trPr>
          <w:trHeight w:hRule="exact" w:val="432"/>
        </w:trPr>
        <w:tc>
          <w:tcPr>
            <w:tcW w:w="1549" w:type="pct"/>
            <w:vMerge w:val="restart"/>
            <w:tcBorders>
              <w:top w:val="single" w:sz="4" w:space="0" w:color="auto"/>
              <w:left w:val="single" w:sz="8" w:space="0" w:color="000000"/>
              <w:bottom w:val="single" w:sz="8" w:space="0" w:color="000000"/>
              <w:right w:val="single" w:sz="8" w:space="0" w:color="000000"/>
            </w:tcBorders>
            <w:shd w:val="clear" w:color="auto" w:fill="FFFFFF"/>
            <w:vAlign w:val="center"/>
          </w:tcPr>
          <w:p w14:paraId="4FD66C21" w14:textId="77777777" w:rsidR="002D5714" w:rsidRPr="002D5714" w:rsidRDefault="002D5714" w:rsidP="002D5714">
            <w:pPr>
              <w:spacing w:after="160" w:line="256" w:lineRule="auto"/>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FF1ED4"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 xml:space="preserve">Date d’hospitalisation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4E99FC"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73BE52BC" w14:textId="77777777" w:rsidTr="002D5714">
        <w:trPr>
          <w:trHeight w:hRule="exact" w:val="432"/>
        </w:trPr>
        <w:tc>
          <w:tcPr>
            <w:tcW w:w="0" w:type="auto"/>
            <w:vMerge/>
            <w:tcBorders>
              <w:top w:val="single" w:sz="4" w:space="0" w:color="auto"/>
              <w:left w:val="single" w:sz="8" w:space="0" w:color="000000"/>
              <w:bottom w:val="single" w:sz="8" w:space="0" w:color="000000"/>
              <w:right w:val="single" w:sz="8" w:space="0" w:color="000000"/>
            </w:tcBorders>
            <w:vAlign w:val="center"/>
            <w:hideMark/>
          </w:tcPr>
          <w:p w14:paraId="1C8910DD"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58AEF3"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 xml:space="preserve">Centre hospitalier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23C70C0"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2D7C5F79" w14:textId="77777777" w:rsidTr="002D5714">
        <w:trPr>
          <w:trHeight w:hRule="exact" w:val="785"/>
        </w:trPr>
        <w:tc>
          <w:tcPr>
            <w:tcW w:w="0" w:type="auto"/>
            <w:vMerge/>
            <w:tcBorders>
              <w:top w:val="single" w:sz="4" w:space="0" w:color="auto"/>
              <w:left w:val="single" w:sz="8" w:space="0" w:color="000000"/>
              <w:bottom w:val="single" w:sz="8" w:space="0" w:color="000000"/>
              <w:right w:val="single" w:sz="8" w:space="0" w:color="000000"/>
            </w:tcBorders>
            <w:vAlign w:val="center"/>
            <w:hideMark/>
          </w:tcPr>
          <w:p w14:paraId="6778E018"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39E4D8"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Information disponible sur les contacts (adresse de contacts)</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F0CEA10"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42EB3E2D" w14:textId="77777777" w:rsidTr="002D5714">
        <w:trPr>
          <w:trHeight w:hRule="exact" w:val="740"/>
        </w:trPr>
        <w:tc>
          <w:tcPr>
            <w:tcW w:w="0" w:type="auto"/>
            <w:vMerge/>
            <w:tcBorders>
              <w:top w:val="single" w:sz="4" w:space="0" w:color="auto"/>
              <w:left w:val="single" w:sz="8" w:space="0" w:color="000000"/>
              <w:bottom w:val="single" w:sz="8" w:space="0" w:color="000000"/>
              <w:right w:val="single" w:sz="8" w:space="0" w:color="000000"/>
            </w:tcBorders>
            <w:vAlign w:val="center"/>
            <w:hideMark/>
          </w:tcPr>
          <w:p w14:paraId="176781F2" w14:textId="77777777" w:rsidR="002D5714" w:rsidRPr="002D5714" w:rsidRDefault="002D5714" w:rsidP="002D5714">
            <w:pPr>
              <w:rPr>
                <w:rFonts w:ascii="Calibri" w:eastAsia="PMingLiU" w:hAnsi="Calibri" w:cs="Arial"/>
                <w:sz w:val="22"/>
                <w:szCs w:val="22"/>
                <w:lang w:val="fr-FR" w:eastAsia="en-GB"/>
              </w:rPr>
            </w:pPr>
          </w:p>
        </w:tc>
        <w:tc>
          <w:tcPr>
            <w:tcW w:w="14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F0E459" w14:textId="77777777" w:rsidR="002D5714" w:rsidRPr="002D5714" w:rsidRDefault="002D5714" w:rsidP="002D5714">
            <w:pPr>
              <w:spacing w:after="200" w:line="276" w:lineRule="auto"/>
              <w:rPr>
                <w:rFonts w:ascii="Calibri" w:eastAsia="PMingLiU" w:hAnsi="Calibri" w:cs="Arial"/>
                <w:sz w:val="22"/>
                <w:szCs w:val="22"/>
                <w:lang w:val="fr-FR" w:eastAsia="en-GB"/>
              </w:rPr>
            </w:pPr>
            <w:r w:rsidRPr="002D5714">
              <w:rPr>
                <w:rFonts w:ascii="Calibri" w:eastAsia="PMingLiU" w:hAnsi="Calibri" w:cs="Arial"/>
                <w:sz w:val="22"/>
                <w:szCs w:val="22"/>
                <w:lang w:val="fr-FR" w:eastAsia="en-GB"/>
              </w:rPr>
              <w:t>Point focal (Sierra Leone et Guinée) et numéro de téléphone</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C751674" w14:textId="77777777" w:rsidR="002D5714" w:rsidRPr="002D5714" w:rsidRDefault="002D5714" w:rsidP="002D5714">
            <w:pPr>
              <w:spacing w:after="200" w:line="276" w:lineRule="auto"/>
              <w:rPr>
                <w:rFonts w:ascii="Calibri" w:eastAsia="PMingLiU" w:hAnsi="Calibri" w:cs="Arial"/>
                <w:sz w:val="22"/>
                <w:szCs w:val="22"/>
                <w:lang w:val="fr-FR" w:eastAsia="en-GB"/>
              </w:rPr>
            </w:pPr>
          </w:p>
        </w:tc>
      </w:tr>
    </w:tbl>
    <w:p w14:paraId="55BD1C9D" w14:textId="77777777" w:rsidR="002D5714" w:rsidRPr="002D5714" w:rsidRDefault="002D5714" w:rsidP="002D5714">
      <w:pPr>
        <w:spacing w:after="200" w:line="276" w:lineRule="auto"/>
        <w:rPr>
          <w:rFonts w:ascii="Calibri" w:eastAsia="PMingLiU" w:hAnsi="Calibri" w:cs="Arial"/>
          <w:b/>
          <w:lang w:val="fr-FR" w:eastAsia="en-GB"/>
        </w:rPr>
      </w:pPr>
      <w:r w:rsidRPr="002D5714">
        <w:rPr>
          <w:rFonts w:ascii="Calibri" w:eastAsia="PMingLiU" w:hAnsi="Calibri" w:cs="Arial"/>
          <w:b/>
          <w:lang w:val="fr-FR" w:eastAsia="en-GB"/>
        </w:rPr>
        <w:br w:type="page"/>
      </w:r>
    </w:p>
    <w:p w14:paraId="52FF8BD3" w14:textId="77777777" w:rsidR="002D5714" w:rsidRPr="002D5714" w:rsidRDefault="002D5714" w:rsidP="002D5714">
      <w:pPr>
        <w:spacing w:after="200" w:line="276" w:lineRule="auto"/>
        <w:jc w:val="center"/>
        <w:rPr>
          <w:rFonts w:ascii="Calibri" w:eastAsia="PMingLiU" w:hAnsi="Calibri" w:cs="Arial"/>
          <w:b/>
          <w:lang w:val="en-GB" w:eastAsia="en-GB"/>
        </w:rPr>
      </w:pPr>
      <w:r w:rsidRPr="002D5714">
        <w:rPr>
          <w:rFonts w:ascii="Calibri" w:eastAsia="Times New Roman" w:hAnsi="Calibri" w:cs="Calibri"/>
          <w:b/>
          <w:bCs/>
          <w:lang w:val="fr-FR" w:eastAsia="en-GB"/>
        </w:rPr>
        <w:t>Formulaire d’enquête transfrontalière</w:t>
      </w:r>
    </w:p>
    <w:tbl>
      <w:tblPr>
        <w:tblW w:w="5000" w:type="pct"/>
        <w:tblCellMar>
          <w:left w:w="0" w:type="dxa"/>
          <w:right w:w="0" w:type="dxa"/>
        </w:tblCellMar>
        <w:tblLook w:val="0020" w:firstRow="1" w:lastRow="0" w:firstColumn="0" w:lastColumn="0" w:noHBand="0" w:noVBand="0"/>
      </w:tblPr>
      <w:tblGrid>
        <w:gridCol w:w="3564"/>
        <w:gridCol w:w="5770"/>
        <w:gridCol w:w="6353"/>
      </w:tblGrid>
      <w:tr w:rsidR="002D5714" w:rsidRPr="002D5714" w14:paraId="09AD9924" w14:textId="77777777" w:rsidTr="002D5714">
        <w:trPr>
          <w:trHeight w:hRule="exact" w:val="432"/>
        </w:trPr>
        <w:tc>
          <w:tcPr>
            <w:tcW w:w="1136" w:type="pct"/>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vAlign w:val="center"/>
            <w:hideMark/>
          </w:tcPr>
          <w:p w14:paraId="30A400DC"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Nom de famille/prénom du cas</w:t>
            </w:r>
          </w:p>
        </w:tc>
        <w:tc>
          <w:tcPr>
            <w:tcW w:w="3864" w:type="pct"/>
            <w:gridSpan w:val="2"/>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tcPr>
          <w:p w14:paraId="1EC1BE48" w14:textId="77777777" w:rsidR="002D5714" w:rsidRPr="002D5714" w:rsidRDefault="002D5714" w:rsidP="002D5714">
            <w:pPr>
              <w:spacing w:after="200" w:line="276" w:lineRule="auto"/>
              <w:rPr>
                <w:rFonts w:ascii="Calibri" w:eastAsia="PMingLiU" w:hAnsi="Calibri" w:cs="Arial"/>
                <w:sz w:val="22"/>
                <w:szCs w:val="22"/>
                <w:lang w:val="fr-CA" w:eastAsia="en-GB"/>
              </w:rPr>
            </w:pPr>
          </w:p>
        </w:tc>
      </w:tr>
      <w:tr w:rsidR="002D5714" w:rsidRPr="002D5714" w14:paraId="3A8466DC" w14:textId="77777777" w:rsidTr="002D5714">
        <w:trPr>
          <w:trHeight w:hRule="exact" w:val="432"/>
        </w:trPr>
        <w:tc>
          <w:tcPr>
            <w:tcW w:w="113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D8AA68"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Date de remplissage :</w:t>
            </w: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0E37B1" w14:textId="77777777" w:rsidR="002D5714" w:rsidRPr="002D5714" w:rsidRDefault="002D5714" w:rsidP="002D5714">
            <w:pPr>
              <w:spacing w:after="200" w:line="276" w:lineRule="auto"/>
              <w:rPr>
                <w:rFonts w:ascii="Calibri" w:eastAsia="Times New Roman" w:hAnsi="Calibri" w:cs="Calibri"/>
                <w:sz w:val="22"/>
                <w:szCs w:val="22"/>
                <w:lang w:val="fr-FR" w:eastAsia="en-GB"/>
              </w:rPr>
            </w:pPr>
            <w:r w:rsidRPr="002D5714">
              <w:rPr>
                <w:rFonts w:ascii="Calibri" w:eastAsia="Times New Roman" w:hAnsi="Calibri" w:cs="Calibri"/>
                <w:sz w:val="22"/>
                <w:szCs w:val="22"/>
                <w:lang w:val="fr-FR" w:eastAsia="en-GB"/>
              </w:rPr>
              <w:t>Numéro d’identification</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E7B47F5" w14:textId="77777777" w:rsidR="002D5714" w:rsidRPr="002D5714" w:rsidRDefault="002D5714" w:rsidP="002D5714">
            <w:pPr>
              <w:spacing w:after="200" w:line="276" w:lineRule="auto"/>
              <w:rPr>
                <w:rFonts w:ascii="Calibri" w:eastAsia="PMingLiU" w:hAnsi="Calibri" w:cs="Arial"/>
                <w:sz w:val="22"/>
                <w:szCs w:val="22"/>
                <w:lang w:val="en-GB" w:eastAsia="en-GB"/>
              </w:rPr>
            </w:pPr>
          </w:p>
        </w:tc>
      </w:tr>
      <w:tr w:rsidR="002D5714" w:rsidRPr="002D5714" w14:paraId="1CB2DD49" w14:textId="77777777" w:rsidTr="002D5714">
        <w:trPr>
          <w:trHeight w:hRule="exact" w:val="432"/>
        </w:trPr>
        <w:tc>
          <w:tcPr>
            <w:tcW w:w="113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6ACC22" w14:textId="77777777" w:rsidR="002D5714" w:rsidRPr="002D5714" w:rsidRDefault="002D5714" w:rsidP="002D5714">
            <w:pPr>
              <w:spacing w:after="200" w:line="276" w:lineRule="auto"/>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Résumé du cas</w:t>
            </w: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25EF66" w14:textId="77777777" w:rsidR="002D5714" w:rsidRPr="002D5714" w:rsidRDefault="002D5714" w:rsidP="002D5714">
            <w:pPr>
              <w:spacing w:after="200" w:line="276" w:lineRule="auto"/>
              <w:rPr>
                <w:rFonts w:ascii="Calibri" w:eastAsia="Times New Roman" w:hAnsi="Calibri" w:cs="Calibri"/>
                <w:sz w:val="22"/>
                <w:szCs w:val="22"/>
                <w:lang w:val="fr-FR" w:eastAsia="en-GB"/>
              </w:rPr>
            </w:pPr>
            <w:r w:rsidRPr="002D5714">
              <w:rPr>
                <w:rFonts w:ascii="Calibri" w:eastAsia="Times New Roman" w:hAnsi="Calibri" w:cs="Calibri"/>
                <w:sz w:val="22"/>
                <w:szCs w:val="22"/>
                <w:lang w:val="fr-FR" w:eastAsia="en-GB"/>
              </w:rPr>
              <w:t xml:space="preserve">Âge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A5DD4A1" w14:textId="77777777" w:rsidR="002D5714" w:rsidRPr="002D5714" w:rsidRDefault="002D5714" w:rsidP="002D5714">
            <w:pPr>
              <w:spacing w:after="200" w:line="276" w:lineRule="auto"/>
              <w:rPr>
                <w:rFonts w:ascii="Calibri" w:eastAsia="PMingLiU" w:hAnsi="Calibri" w:cs="Arial"/>
                <w:sz w:val="22"/>
                <w:szCs w:val="22"/>
                <w:lang w:val="en-GB" w:eastAsia="en-GB"/>
              </w:rPr>
            </w:pPr>
          </w:p>
        </w:tc>
      </w:tr>
      <w:tr w:rsidR="002D5714" w:rsidRPr="002D5714" w14:paraId="7C36BB9F" w14:textId="77777777" w:rsidTr="002D5714">
        <w:trPr>
          <w:trHeight w:hRule="exact" w:val="432"/>
        </w:trPr>
        <w:tc>
          <w:tcPr>
            <w:tcW w:w="1136"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4E00739" w14:textId="77777777" w:rsidR="002D5714" w:rsidRPr="002D5714" w:rsidRDefault="002D5714" w:rsidP="002D5714">
            <w:pPr>
              <w:spacing w:after="200" w:line="276" w:lineRule="auto"/>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81D70B" w14:textId="77777777" w:rsidR="002D5714" w:rsidRPr="002D5714" w:rsidRDefault="002D5714" w:rsidP="002D5714">
            <w:pPr>
              <w:spacing w:after="200" w:line="276" w:lineRule="auto"/>
              <w:rPr>
                <w:rFonts w:ascii="Calibri" w:eastAsia="Times New Roman" w:hAnsi="Calibri" w:cs="Calibri"/>
                <w:sz w:val="22"/>
                <w:szCs w:val="22"/>
                <w:lang w:val="fr-FR" w:eastAsia="en-GB"/>
              </w:rPr>
            </w:pPr>
            <w:r w:rsidRPr="002D5714">
              <w:rPr>
                <w:rFonts w:ascii="Calibri" w:eastAsia="Times New Roman" w:hAnsi="Calibri" w:cs="Calibri"/>
                <w:sz w:val="22"/>
                <w:szCs w:val="22"/>
                <w:lang w:val="fr-FR" w:eastAsia="en-GB"/>
              </w:rPr>
              <w:t>Sexe</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23A9D3" w14:textId="77777777" w:rsidR="002D5714" w:rsidRPr="002D5714" w:rsidRDefault="002D5714" w:rsidP="002D5714">
            <w:pPr>
              <w:spacing w:after="200" w:line="276" w:lineRule="auto"/>
              <w:rPr>
                <w:rFonts w:ascii="Calibri" w:eastAsia="PMingLiU" w:hAnsi="Calibri" w:cs="Arial"/>
                <w:sz w:val="22"/>
                <w:szCs w:val="22"/>
                <w:lang w:val="en-GB" w:eastAsia="en-GB"/>
              </w:rPr>
            </w:pPr>
          </w:p>
        </w:tc>
      </w:tr>
      <w:tr w:rsidR="002D5714" w:rsidRPr="002D5714" w14:paraId="270091C8" w14:textId="77777777" w:rsidTr="002D5714">
        <w:trPr>
          <w:trHeight w:hRule="exac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C8B6E6"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D8439" w14:textId="77777777" w:rsidR="002D5714" w:rsidRPr="002D5714" w:rsidRDefault="002D5714" w:rsidP="002D5714">
            <w:pPr>
              <w:spacing w:after="200" w:line="276" w:lineRule="auto"/>
              <w:rPr>
                <w:rFonts w:ascii="Calibri" w:eastAsia="Times New Roman" w:hAnsi="Calibri" w:cs="Calibri"/>
                <w:sz w:val="22"/>
                <w:szCs w:val="22"/>
                <w:lang w:val="fr-FR" w:eastAsia="en-GB"/>
              </w:rPr>
            </w:pPr>
            <w:r w:rsidRPr="002D5714">
              <w:rPr>
                <w:rFonts w:ascii="Calibri" w:eastAsia="Times New Roman" w:hAnsi="Calibri" w:cs="Calibri"/>
                <w:sz w:val="22"/>
                <w:szCs w:val="22"/>
                <w:lang w:val="fr-FR" w:eastAsia="en-GB"/>
              </w:rPr>
              <w:t xml:space="preserve">État (vivant ou décédé)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4666369" w14:textId="77777777" w:rsidR="002D5714" w:rsidRPr="002D5714" w:rsidRDefault="002D5714" w:rsidP="002D5714">
            <w:pPr>
              <w:spacing w:after="200" w:line="276" w:lineRule="auto"/>
              <w:rPr>
                <w:rFonts w:ascii="Calibri" w:eastAsia="PMingLiU" w:hAnsi="Calibri" w:cs="Arial"/>
                <w:sz w:val="22"/>
                <w:szCs w:val="22"/>
                <w:lang w:val="fr-FR" w:eastAsia="en-GB"/>
              </w:rPr>
            </w:pPr>
          </w:p>
        </w:tc>
      </w:tr>
      <w:tr w:rsidR="002D5714" w:rsidRPr="002D5714" w14:paraId="1636A40D" w14:textId="77777777" w:rsidTr="002D5714">
        <w:trPr>
          <w:trHeight w:hRule="exac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E568F1"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F7C3BD"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 xml:space="preserve">Adresse et pays de résidence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E1CE97F" w14:textId="77777777" w:rsidR="002D5714" w:rsidRPr="002D5714" w:rsidRDefault="002D5714" w:rsidP="002D5714">
            <w:pPr>
              <w:spacing w:after="200" w:line="276" w:lineRule="auto"/>
              <w:rPr>
                <w:rFonts w:ascii="Calibri" w:eastAsia="PMingLiU" w:hAnsi="Calibri" w:cs="Arial"/>
                <w:sz w:val="22"/>
                <w:szCs w:val="22"/>
                <w:lang w:val="fr-CA" w:eastAsia="en-GB"/>
              </w:rPr>
            </w:pPr>
          </w:p>
        </w:tc>
      </w:tr>
      <w:tr w:rsidR="002D5714" w:rsidRPr="002D5714" w14:paraId="0B2D81F9" w14:textId="77777777" w:rsidTr="002D5714">
        <w:trPr>
          <w:trHeight w:hRule="exac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404450"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8996BE"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Préfecture/District</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668BD28" w14:textId="77777777" w:rsidR="002D5714" w:rsidRPr="002D5714" w:rsidRDefault="002D5714" w:rsidP="002D5714">
            <w:pPr>
              <w:spacing w:after="200" w:line="276" w:lineRule="auto"/>
              <w:rPr>
                <w:rFonts w:ascii="Calibri" w:eastAsia="PMingLiU" w:hAnsi="Calibri" w:cs="Arial"/>
                <w:sz w:val="22"/>
                <w:szCs w:val="22"/>
                <w:lang w:val="en-GB" w:eastAsia="en-GB"/>
              </w:rPr>
            </w:pPr>
          </w:p>
        </w:tc>
      </w:tr>
      <w:tr w:rsidR="002D5714" w:rsidRPr="002D5714" w14:paraId="07F1C115" w14:textId="77777777" w:rsidTr="002D5714">
        <w:trPr>
          <w:trHeight w:hRule="exact" w:val="6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DFEA26"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269298"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 xml:space="preserve">Numéro de téléphone du cas et de la famille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AD27C27" w14:textId="77777777" w:rsidR="002D5714" w:rsidRPr="002D5714" w:rsidRDefault="002D5714" w:rsidP="002D5714">
            <w:pPr>
              <w:spacing w:after="200" w:line="276" w:lineRule="auto"/>
              <w:rPr>
                <w:rFonts w:ascii="Calibri" w:eastAsia="PMingLiU" w:hAnsi="Calibri" w:cs="Arial"/>
                <w:sz w:val="22"/>
                <w:szCs w:val="22"/>
                <w:lang w:val="fr-CA" w:eastAsia="en-GB"/>
              </w:rPr>
            </w:pPr>
          </w:p>
        </w:tc>
      </w:tr>
      <w:tr w:rsidR="002D5714" w:rsidRPr="002D5714" w14:paraId="6125BA76" w14:textId="77777777" w:rsidTr="002D5714">
        <w:trPr>
          <w:trHeight w:hRule="exac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88FF18"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AF2BF7"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Cas source : prénom/nom de famille, adresse, numéro d’identification</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3659F5" w14:textId="77777777" w:rsidR="002D5714" w:rsidRPr="002D5714" w:rsidRDefault="002D5714" w:rsidP="002D5714">
            <w:pPr>
              <w:spacing w:after="200" w:line="276" w:lineRule="auto"/>
              <w:rPr>
                <w:rFonts w:ascii="Calibri" w:eastAsia="PMingLiU" w:hAnsi="Calibri" w:cs="Arial"/>
                <w:sz w:val="22"/>
                <w:szCs w:val="22"/>
                <w:lang w:val="fr-CA" w:eastAsia="en-GB"/>
              </w:rPr>
            </w:pPr>
          </w:p>
        </w:tc>
      </w:tr>
      <w:tr w:rsidR="002D5714" w:rsidRPr="002D5714" w14:paraId="0D7ECF84" w14:textId="77777777" w:rsidTr="002D5714">
        <w:trPr>
          <w:trHeight w:hRule="exact" w:val="740"/>
        </w:trPr>
        <w:tc>
          <w:tcPr>
            <w:tcW w:w="1136"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14:paraId="7F6F2305" w14:textId="77777777" w:rsidR="002D5714" w:rsidRPr="002D5714" w:rsidRDefault="002D5714" w:rsidP="002D5714">
            <w:pPr>
              <w:spacing w:after="200" w:line="276" w:lineRule="auto"/>
              <w:rPr>
                <w:rFonts w:ascii="Calibri" w:eastAsia="PMingLiU" w:hAnsi="Calibri" w:cs="Arial"/>
                <w:b/>
                <w:sz w:val="22"/>
                <w:szCs w:val="22"/>
                <w:lang w:val="fr-CA" w:eastAsia="en-GB"/>
              </w:rPr>
            </w:pPr>
            <w:r w:rsidRPr="002D5714">
              <w:rPr>
                <w:rFonts w:ascii="Calibri" w:eastAsia="Times New Roman" w:hAnsi="Calibri" w:cs="Calibri"/>
                <w:b/>
                <w:bCs/>
                <w:sz w:val="22"/>
                <w:szCs w:val="22"/>
                <w:lang w:val="fr-FR" w:eastAsia="en-GB"/>
              </w:rPr>
              <w:t>Renseignements importants pour l’enquête transfrontalière</w:t>
            </w: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9F7512"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Date d’apparition des symptômes</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15B0FED" w14:textId="77777777" w:rsidR="002D5714" w:rsidRPr="002D5714" w:rsidRDefault="002D5714" w:rsidP="002D5714">
            <w:pPr>
              <w:spacing w:after="200" w:line="276" w:lineRule="auto"/>
              <w:rPr>
                <w:rFonts w:ascii="Calibri" w:eastAsia="PMingLiU" w:hAnsi="Calibri" w:cs="Arial"/>
                <w:sz w:val="22"/>
                <w:szCs w:val="22"/>
                <w:lang w:val="en-GB" w:eastAsia="en-GB"/>
              </w:rPr>
            </w:pPr>
          </w:p>
        </w:tc>
      </w:tr>
      <w:tr w:rsidR="002D5714" w:rsidRPr="002D5714" w14:paraId="42FD76B3" w14:textId="77777777" w:rsidTr="002D5714">
        <w:trPr>
          <w:trHeight w:hRule="exact" w:val="432"/>
        </w:trPr>
        <w:tc>
          <w:tcPr>
            <w:tcW w:w="1136" w:type="pct"/>
            <w:vMerge w:val="restart"/>
            <w:tcBorders>
              <w:top w:val="single" w:sz="4" w:space="0" w:color="auto"/>
              <w:left w:val="single" w:sz="8" w:space="0" w:color="000000"/>
              <w:bottom w:val="single" w:sz="8" w:space="0" w:color="000000"/>
              <w:right w:val="single" w:sz="8" w:space="0" w:color="000000"/>
            </w:tcBorders>
            <w:shd w:val="clear" w:color="auto" w:fill="FFFFFF"/>
            <w:vAlign w:val="center"/>
          </w:tcPr>
          <w:p w14:paraId="54EBBB51" w14:textId="77777777" w:rsidR="002D5714" w:rsidRPr="002D5714" w:rsidRDefault="002D5714" w:rsidP="002D5714">
            <w:pPr>
              <w:spacing w:after="160" w:line="256" w:lineRule="auto"/>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7DED63"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 xml:space="preserve">Date d’admission à l’hôpital </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08DC6F" w14:textId="77777777" w:rsidR="002D5714" w:rsidRPr="002D5714" w:rsidRDefault="002D5714" w:rsidP="002D5714">
            <w:pPr>
              <w:spacing w:after="200" w:line="276" w:lineRule="auto"/>
              <w:rPr>
                <w:rFonts w:ascii="Calibri" w:eastAsia="PMingLiU" w:hAnsi="Calibri" w:cs="Arial"/>
                <w:sz w:val="22"/>
                <w:szCs w:val="22"/>
                <w:lang w:val="en-GB" w:eastAsia="en-GB"/>
              </w:rPr>
            </w:pPr>
          </w:p>
        </w:tc>
      </w:tr>
      <w:tr w:rsidR="002D5714" w:rsidRPr="002D5714" w14:paraId="56427492" w14:textId="77777777" w:rsidTr="002D5714">
        <w:trPr>
          <w:trHeight w:hRule="exact" w:val="432"/>
        </w:trPr>
        <w:tc>
          <w:tcPr>
            <w:tcW w:w="0" w:type="auto"/>
            <w:vMerge/>
            <w:tcBorders>
              <w:top w:val="single" w:sz="4" w:space="0" w:color="auto"/>
              <w:left w:val="single" w:sz="8" w:space="0" w:color="000000"/>
              <w:bottom w:val="single" w:sz="8" w:space="0" w:color="000000"/>
              <w:right w:val="single" w:sz="8" w:space="0" w:color="000000"/>
            </w:tcBorders>
            <w:vAlign w:val="center"/>
            <w:hideMark/>
          </w:tcPr>
          <w:p w14:paraId="10BF8BD8"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6496A4"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Nom du centre de maintien/traitement</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0F3DBC1" w14:textId="77777777" w:rsidR="002D5714" w:rsidRPr="002D5714" w:rsidRDefault="002D5714" w:rsidP="002D5714">
            <w:pPr>
              <w:spacing w:after="200" w:line="276" w:lineRule="auto"/>
              <w:rPr>
                <w:rFonts w:ascii="Calibri" w:eastAsia="PMingLiU" w:hAnsi="Calibri" w:cs="Arial"/>
                <w:sz w:val="22"/>
                <w:szCs w:val="22"/>
                <w:lang w:val="fr-CA" w:eastAsia="en-GB"/>
              </w:rPr>
            </w:pPr>
          </w:p>
        </w:tc>
      </w:tr>
      <w:tr w:rsidR="002D5714" w:rsidRPr="002D5714" w14:paraId="25992BE6" w14:textId="77777777" w:rsidTr="002D5714">
        <w:trPr>
          <w:trHeight w:hRule="exact" w:val="785"/>
        </w:trPr>
        <w:tc>
          <w:tcPr>
            <w:tcW w:w="0" w:type="auto"/>
            <w:vMerge/>
            <w:tcBorders>
              <w:top w:val="single" w:sz="4" w:space="0" w:color="auto"/>
              <w:left w:val="single" w:sz="8" w:space="0" w:color="000000"/>
              <w:bottom w:val="single" w:sz="8" w:space="0" w:color="000000"/>
              <w:right w:val="single" w:sz="8" w:space="0" w:color="000000"/>
            </w:tcBorders>
            <w:vAlign w:val="center"/>
            <w:hideMark/>
          </w:tcPr>
          <w:p w14:paraId="4E7EEFD0"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C2D22E"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Renseignements disponibles sur les contacts (adresse des contacts)</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B0623D3" w14:textId="77777777" w:rsidR="002D5714" w:rsidRPr="002D5714" w:rsidRDefault="002D5714" w:rsidP="002D5714">
            <w:pPr>
              <w:spacing w:after="200" w:line="276" w:lineRule="auto"/>
              <w:rPr>
                <w:rFonts w:ascii="Calibri" w:eastAsia="PMingLiU" w:hAnsi="Calibri" w:cs="Arial"/>
                <w:sz w:val="22"/>
                <w:szCs w:val="22"/>
                <w:lang w:val="fr-CA" w:eastAsia="en-GB"/>
              </w:rPr>
            </w:pPr>
          </w:p>
        </w:tc>
      </w:tr>
      <w:tr w:rsidR="002D5714" w:rsidRPr="002D5714" w14:paraId="3517733E" w14:textId="77777777" w:rsidTr="002D5714">
        <w:trPr>
          <w:trHeight w:hRule="exact" w:val="740"/>
        </w:trPr>
        <w:tc>
          <w:tcPr>
            <w:tcW w:w="0" w:type="auto"/>
            <w:vMerge/>
            <w:tcBorders>
              <w:top w:val="single" w:sz="4" w:space="0" w:color="auto"/>
              <w:left w:val="single" w:sz="8" w:space="0" w:color="000000"/>
              <w:bottom w:val="single" w:sz="8" w:space="0" w:color="000000"/>
              <w:right w:val="single" w:sz="8" w:space="0" w:color="000000"/>
            </w:tcBorders>
            <w:vAlign w:val="center"/>
            <w:hideMark/>
          </w:tcPr>
          <w:p w14:paraId="0035CCA8" w14:textId="77777777" w:rsidR="002D5714" w:rsidRPr="002D5714" w:rsidRDefault="002D5714" w:rsidP="002D5714">
            <w:pPr>
              <w:rPr>
                <w:rFonts w:ascii="Calibri" w:eastAsia="PMingLiU" w:hAnsi="Calibri" w:cs="Arial"/>
                <w:sz w:val="22"/>
                <w:szCs w:val="22"/>
                <w:lang w:val="en-GB" w:eastAsia="en-GB"/>
              </w:rPr>
            </w:pPr>
          </w:p>
        </w:tc>
        <w:tc>
          <w:tcPr>
            <w:tcW w:w="183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F9020E"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Nom du responsable de l’enquête (Sierra Leone et Guinée) et numéro de téléphone</w:t>
            </w:r>
          </w:p>
        </w:tc>
        <w:tc>
          <w:tcPr>
            <w:tcW w:w="20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DD08F55" w14:textId="77777777" w:rsidR="002D5714" w:rsidRPr="002D5714" w:rsidRDefault="002D5714" w:rsidP="002D5714">
            <w:pPr>
              <w:spacing w:after="200" w:line="276" w:lineRule="auto"/>
              <w:rPr>
                <w:rFonts w:ascii="Calibri" w:eastAsia="PMingLiU" w:hAnsi="Calibri" w:cs="Arial"/>
                <w:sz w:val="22"/>
                <w:szCs w:val="22"/>
                <w:lang w:val="fr-CA" w:eastAsia="en-GB"/>
              </w:rPr>
            </w:pPr>
          </w:p>
        </w:tc>
      </w:tr>
    </w:tbl>
    <w:p w14:paraId="5FACD050" w14:textId="77777777" w:rsidR="002D5714" w:rsidRPr="002D5714" w:rsidRDefault="002D5714" w:rsidP="002D5714">
      <w:pPr>
        <w:spacing w:after="200" w:line="276" w:lineRule="auto"/>
        <w:rPr>
          <w:rFonts w:ascii="Calibri" w:eastAsia="PMingLiU" w:hAnsi="Calibri" w:cs="Arial"/>
          <w:b/>
          <w:lang w:val="fr-CA" w:eastAsia="en-GB"/>
        </w:rPr>
      </w:pPr>
    </w:p>
    <w:p w14:paraId="03C06F26" w14:textId="77777777" w:rsidR="002D5714" w:rsidRPr="002D5714" w:rsidRDefault="002D5714" w:rsidP="002D5714">
      <w:pPr>
        <w:spacing w:line="276" w:lineRule="auto"/>
        <w:rPr>
          <w:rFonts w:ascii="Calibri" w:eastAsia="PMingLiU" w:hAnsi="Calibri" w:cs="Arial"/>
          <w:sz w:val="22"/>
          <w:szCs w:val="22"/>
          <w:lang w:val="fr-CA" w:eastAsia="en-GB"/>
        </w:rPr>
        <w:sectPr w:rsidR="002D5714" w:rsidRPr="002D5714">
          <w:pgSz w:w="16839" w:h="11907" w:orient="landscape"/>
          <w:pgMar w:top="720" w:right="720" w:bottom="720" w:left="720" w:header="720" w:footer="720" w:gutter="0"/>
          <w:cols w:space="720"/>
        </w:sectPr>
      </w:pPr>
    </w:p>
    <w:p w14:paraId="0874AF5E" w14:textId="77777777" w:rsidR="002D5714" w:rsidRPr="002D5714" w:rsidRDefault="002D5714" w:rsidP="002D5714">
      <w:pPr>
        <w:spacing w:line="276" w:lineRule="auto"/>
        <w:jc w:val="right"/>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Annexe C</w:t>
      </w:r>
    </w:p>
    <w:p w14:paraId="7F786337" w14:textId="77777777" w:rsidR="002D5714" w:rsidRPr="002D5714" w:rsidRDefault="002D5714" w:rsidP="002D5714">
      <w:pPr>
        <w:spacing w:line="276" w:lineRule="auto"/>
        <w:jc w:val="right"/>
        <w:rPr>
          <w:rFonts w:ascii="Calibri" w:eastAsia="PMingLiU" w:hAnsi="Calibri" w:cs="Arial"/>
          <w:b/>
          <w:sz w:val="22"/>
          <w:szCs w:val="22"/>
          <w:lang w:val="it-IT" w:eastAsia="en-GB"/>
        </w:rPr>
      </w:pPr>
      <w:r w:rsidRPr="002D5714">
        <w:rPr>
          <w:rFonts w:ascii="Calibri" w:eastAsia="Times New Roman" w:hAnsi="Calibri" w:cs="Calibri"/>
          <w:b/>
          <w:bCs/>
          <w:sz w:val="22"/>
          <w:szCs w:val="22"/>
          <w:lang w:val="fr-FR" w:eastAsia="en-GB"/>
        </w:rPr>
        <w:t>Répertoire des contacts</w:t>
      </w:r>
    </w:p>
    <w:p w14:paraId="48832C6A" w14:textId="77777777" w:rsidR="002D5714" w:rsidRPr="002D5714" w:rsidRDefault="002D5714" w:rsidP="002D5714">
      <w:pPr>
        <w:spacing w:line="276" w:lineRule="auto"/>
        <w:jc w:val="right"/>
        <w:rPr>
          <w:rFonts w:ascii="Calibri" w:eastAsia="PMingLiU" w:hAnsi="Calibri" w:cs="Arial"/>
          <w:sz w:val="22"/>
          <w:szCs w:val="22"/>
          <w:lang w:val="it-IT" w:eastAsia="en-GB"/>
        </w:rPr>
      </w:pPr>
      <w:r w:rsidRPr="002D5714">
        <w:rPr>
          <w:rFonts w:ascii="Calibri" w:eastAsia="Times New Roman" w:hAnsi="Calibri" w:cs="Calibri"/>
          <w:sz w:val="22"/>
          <w:szCs w:val="22"/>
          <w:lang w:val="fr-FR" w:eastAsia="en-GB"/>
        </w:rPr>
        <w:t>7 mars 2015</w:t>
      </w:r>
    </w:p>
    <w:p w14:paraId="6B4BCCE0" w14:textId="77777777" w:rsidR="002D5714" w:rsidRPr="002D5714" w:rsidRDefault="002D5714" w:rsidP="002D5714">
      <w:pPr>
        <w:spacing w:line="276" w:lineRule="auto"/>
        <w:jc w:val="right"/>
        <w:rPr>
          <w:rFonts w:ascii="Calibri" w:eastAsia="PMingLiU" w:hAnsi="Calibri" w:cs="Arial"/>
          <w:sz w:val="22"/>
          <w:szCs w:val="22"/>
          <w:lang w:val="it-IT" w:eastAsia="en-GB"/>
        </w:rPr>
      </w:pPr>
    </w:p>
    <w:tbl>
      <w:tblPr>
        <w:tblW w:w="15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7"/>
        <w:gridCol w:w="941"/>
        <w:gridCol w:w="4048"/>
        <w:gridCol w:w="2160"/>
        <w:gridCol w:w="1350"/>
        <w:gridCol w:w="1586"/>
        <w:gridCol w:w="3173"/>
        <w:gridCol w:w="1540"/>
      </w:tblGrid>
      <w:tr w:rsidR="002D5714" w:rsidRPr="002D5714" w14:paraId="477BA606"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55FF9C91"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Pays</w:t>
            </w:r>
          </w:p>
        </w:tc>
        <w:tc>
          <w:tcPr>
            <w:tcW w:w="941" w:type="dxa"/>
            <w:tcBorders>
              <w:top w:val="single" w:sz="4" w:space="0" w:color="auto"/>
              <w:left w:val="single" w:sz="4" w:space="0" w:color="auto"/>
              <w:bottom w:val="single" w:sz="4" w:space="0" w:color="auto"/>
              <w:right w:val="single" w:sz="4" w:space="0" w:color="auto"/>
            </w:tcBorders>
            <w:hideMark/>
          </w:tcPr>
          <w:p w14:paraId="4A2655CB"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Site</w:t>
            </w:r>
          </w:p>
        </w:tc>
        <w:tc>
          <w:tcPr>
            <w:tcW w:w="4049" w:type="dxa"/>
            <w:tcBorders>
              <w:top w:val="single" w:sz="4" w:space="0" w:color="auto"/>
              <w:left w:val="single" w:sz="4" w:space="0" w:color="auto"/>
              <w:bottom w:val="single" w:sz="4" w:space="0" w:color="auto"/>
              <w:right w:val="single" w:sz="4" w:space="0" w:color="auto"/>
            </w:tcBorders>
            <w:noWrap/>
            <w:hideMark/>
          </w:tcPr>
          <w:p w14:paraId="3BB634E6"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Description</w:t>
            </w:r>
          </w:p>
        </w:tc>
        <w:tc>
          <w:tcPr>
            <w:tcW w:w="2160" w:type="dxa"/>
            <w:tcBorders>
              <w:top w:val="single" w:sz="4" w:space="0" w:color="auto"/>
              <w:left w:val="single" w:sz="4" w:space="0" w:color="auto"/>
              <w:bottom w:val="single" w:sz="4" w:space="0" w:color="auto"/>
              <w:right w:val="single" w:sz="4" w:space="0" w:color="auto"/>
            </w:tcBorders>
            <w:hideMark/>
          </w:tcPr>
          <w:p w14:paraId="58182176"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Nom de famille</w:t>
            </w:r>
          </w:p>
        </w:tc>
        <w:tc>
          <w:tcPr>
            <w:tcW w:w="1350" w:type="dxa"/>
            <w:tcBorders>
              <w:top w:val="single" w:sz="4" w:space="0" w:color="auto"/>
              <w:left w:val="single" w:sz="4" w:space="0" w:color="auto"/>
              <w:bottom w:val="single" w:sz="4" w:space="0" w:color="auto"/>
              <w:right w:val="single" w:sz="4" w:space="0" w:color="auto"/>
            </w:tcBorders>
            <w:hideMark/>
          </w:tcPr>
          <w:p w14:paraId="30C897C4"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Nom</w:t>
            </w:r>
          </w:p>
        </w:tc>
        <w:tc>
          <w:tcPr>
            <w:tcW w:w="1586" w:type="dxa"/>
            <w:tcBorders>
              <w:top w:val="single" w:sz="4" w:space="0" w:color="auto"/>
              <w:left w:val="single" w:sz="4" w:space="0" w:color="auto"/>
              <w:bottom w:val="single" w:sz="4" w:space="0" w:color="auto"/>
              <w:right w:val="single" w:sz="4" w:space="0" w:color="auto"/>
            </w:tcBorders>
            <w:hideMark/>
          </w:tcPr>
          <w:p w14:paraId="1A730343"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National/</w:t>
            </w:r>
          </w:p>
          <w:p w14:paraId="4950D8A3"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International</w:t>
            </w:r>
          </w:p>
        </w:tc>
        <w:tc>
          <w:tcPr>
            <w:tcW w:w="3174" w:type="dxa"/>
            <w:tcBorders>
              <w:top w:val="single" w:sz="4" w:space="0" w:color="auto"/>
              <w:left w:val="single" w:sz="4" w:space="0" w:color="auto"/>
              <w:bottom w:val="single" w:sz="4" w:space="0" w:color="auto"/>
              <w:right w:val="single" w:sz="4" w:space="0" w:color="auto"/>
            </w:tcBorders>
            <w:hideMark/>
          </w:tcPr>
          <w:p w14:paraId="3D93C101" w14:textId="77777777" w:rsidR="002D5714" w:rsidRPr="002D5714" w:rsidRDefault="002D5714" w:rsidP="002D5714">
            <w:pPr>
              <w:rPr>
                <w:rFonts w:ascii="Calibri" w:eastAsia="PMingLiU" w:hAnsi="Calibri" w:cs="Arial"/>
                <w:b/>
                <w:color w:val="0563C1"/>
                <w:sz w:val="22"/>
                <w:szCs w:val="22"/>
                <w:u w:val="single"/>
                <w:lang w:val="en-GB" w:eastAsia="en-GB"/>
              </w:rPr>
            </w:pPr>
            <w:r w:rsidRPr="002D5714">
              <w:rPr>
                <w:rFonts w:ascii="Calibri" w:eastAsia="Times New Roman" w:hAnsi="Calibri" w:cs="Calibri"/>
                <w:b/>
                <w:bCs/>
                <w:sz w:val="22"/>
                <w:szCs w:val="22"/>
                <w:lang w:val="fr-FR" w:eastAsia="en-GB"/>
              </w:rPr>
              <w:t>Adresse électronique :</w:t>
            </w:r>
          </w:p>
        </w:tc>
        <w:tc>
          <w:tcPr>
            <w:tcW w:w="1540" w:type="dxa"/>
            <w:tcBorders>
              <w:top w:val="single" w:sz="4" w:space="0" w:color="auto"/>
              <w:left w:val="single" w:sz="4" w:space="0" w:color="auto"/>
              <w:bottom w:val="single" w:sz="4" w:space="0" w:color="auto"/>
              <w:right w:val="single" w:sz="4" w:space="0" w:color="auto"/>
            </w:tcBorders>
            <w:hideMark/>
          </w:tcPr>
          <w:p w14:paraId="68600A65" w14:textId="77777777" w:rsidR="002D5714" w:rsidRPr="002D5714" w:rsidRDefault="002D5714" w:rsidP="002D5714">
            <w:pPr>
              <w:rPr>
                <w:rFonts w:ascii="Calibri" w:eastAsia="PMingLiU" w:hAnsi="Calibri" w:cs="Arial"/>
                <w:b/>
                <w:sz w:val="22"/>
                <w:szCs w:val="22"/>
                <w:lang w:val="en-GB" w:eastAsia="en-GB"/>
              </w:rPr>
            </w:pPr>
            <w:r w:rsidRPr="002D5714">
              <w:rPr>
                <w:rFonts w:ascii="Calibri" w:eastAsia="Times New Roman" w:hAnsi="Calibri" w:cs="Calibri"/>
                <w:b/>
                <w:bCs/>
                <w:sz w:val="22"/>
                <w:szCs w:val="22"/>
                <w:lang w:val="fr-FR" w:eastAsia="en-GB"/>
              </w:rPr>
              <w:t>Téléphone</w:t>
            </w:r>
          </w:p>
        </w:tc>
      </w:tr>
      <w:tr w:rsidR="002D5714" w:rsidRPr="002D5714" w14:paraId="7666FCA5"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6D9D0C2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3CE7CAB9"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2358E89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24E0748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SYLLA</w:t>
            </w:r>
          </w:p>
        </w:tc>
        <w:tc>
          <w:tcPr>
            <w:tcW w:w="1350" w:type="dxa"/>
            <w:tcBorders>
              <w:top w:val="single" w:sz="4" w:space="0" w:color="auto"/>
              <w:left w:val="single" w:sz="4" w:space="0" w:color="auto"/>
              <w:bottom w:val="single" w:sz="4" w:space="0" w:color="auto"/>
              <w:right w:val="single" w:sz="4" w:space="0" w:color="auto"/>
            </w:tcBorders>
            <w:hideMark/>
          </w:tcPr>
          <w:p w14:paraId="51E22572"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Mounir</w:t>
            </w:r>
          </w:p>
        </w:tc>
        <w:tc>
          <w:tcPr>
            <w:tcW w:w="1586" w:type="dxa"/>
            <w:tcBorders>
              <w:top w:val="single" w:sz="4" w:space="0" w:color="auto"/>
              <w:left w:val="single" w:sz="4" w:space="0" w:color="auto"/>
              <w:bottom w:val="single" w:sz="4" w:space="0" w:color="auto"/>
              <w:right w:val="single" w:sz="4" w:space="0" w:color="auto"/>
            </w:tcBorders>
            <w:hideMark/>
          </w:tcPr>
          <w:p w14:paraId="6BC3632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41C08A3E" w14:textId="77777777" w:rsidR="002D5714" w:rsidRPr="002D5714" w:rsidRDefault="002D5714" w:rsidP="002D5714">
            <w:pPr>
              <w:rPr>
                <w:rFonts w:ascii="Calibri" w:eastAsia="PMingLiU" w:hAnsi="Calibri" w:cs="Arial"/>
                <w:color w:val="0563C1"/>
                <w:sz w:val="22"/>
                <w:szCs w:val="22"/>
                <w:u w:val="single"/>
                <w:lang w:val="en-GB" w:eastAsia="en-GB"/>
              </w:rPr>
            </w:pPr>
            <w:r w:rsidRPr="002D5714">
              <w:rPr>
                <w:rFonts w:ascii="Calibri" w:eastAsia="PMingLiU" w:hAnsi="Calibri" w:cs="Arial"/>
                <w:color w:val="0563C1"/>
                <w:sz w:val="22"/>
                <w:szCs w:val="22"/>
                <w:u w:val="single"/>
                <w:lang w:val="en-GB" w:eastAsia="en-GB"/>
              </w:rPr>
              <w:t xml:space="preserve">mounirgas@gmail.com </w:t>
            </w:r>
          </w:p>
        </w:tc>
        <w:tc>
          <w:tcPr>
            <w:tcW w:w="1540" w:type="dxa"/>
            <w:tcBorders>
              <w:top w:val="single" w:sz="4" w:space="0" w:color="auto"/>
              <w:left w:val="single" w:sz="4" w:space="0" w:color="auto"/>
              <w:bottom w:val="single" w:sz="4" w:space="0" w:color="auto"/>
              <w:right w:val="single" w:sz="4" w:space="0" w:color="auto"/>
            </w:tcBorders>
            <w:hideMark/>
          </w:tcPr>
          <w:p w14:paraId="12843EB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624 617 907</w:t>
            </w:r>
          </w:p>
        </w:tc>
      </w:tr>
      <w:tr w:rsidR="002D5714" w:rsidRPr="002D5714" w14:paraId="7280A45A" w14:textId="77777777" w:rsidTr="00900CD8">
        <w:trPr>
          <w:trHeight w:val="323"/>
          <w:jc w:val="center"/>
        </w:trPr>
        <w:tc>
          <w:tcPr>
            <w:tcW w:w="878" w:type="dxa"/>
            <w:tcBorders>
              <w:top w:val="single" w:sz="4" w:space="0" w:color="auto"/>
              <w:left w:val="single" w:sz="4" w:space="0" w:color="auto"/>
              <w:bottom w:val="single" w:sz="4" w:space="0" w:color="auto"/>
              <w:right w:val="single" w:sz="4" w:space="0" w:color="auto"/>
            </w:tcBorders>
            <w:hideMark/>
          </w:tcPr>
          <w:p w14:paraId="67F7440B"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13FA4ED0"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04AE3BD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2B3B268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CONDE</w:t>
            </w:r>
          </w:p>
        </w:tc>
        <w:tc>
          <w:tcPr>
            <w:tcW w:w="1350" w:type="dxa"/>
            <w:tcBorders>
              <w:top w:val="single" w:sz="4" w:space="0" w:color="auto"/>
              <w:left w:val="single" w:sz="4" w:space="0" w:color="auto"/>
              <w:bottom w:val="single" w:sz="4" w:space="0" w:color="auto"/>
              <w:right w:val="single" w:sz="4" w:space="0" w:color="auto"/>
            </w:tcBorders>
            <w:hideMark/>
          </w:tcPr>
          <w:p w14:paraId="174237C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Sarata</w:t>
            </w:r>
          </w:p>
        </w:tc>
        <w:tc>
          <w:tcPr>
            <w:tcW w:w="1586" w:type="dxa"/>
            <w:tcBorders>
              <w:top w:val="single" w:sz="4" w:space="0" w:color="auto"/>
              <w:left w:val="single" w:sz="4" w:space="0" w:color="auto"/>
              <w:bottom w:val="single" w:sz="4" w:space="0" w:color="auto"/>
              <w:right w:val="single" w:sz="4" w:space="0" w:color="auto"/>
            </w:tcBorders>
            <w:hideMark/>
          </w:tcPr>
          <w:p w14:paraId="6262973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7B513070" w14:textId="77777777" w:rsidR="002D5714" w:rsidRPr="002D5714" w:rsidRDefault="00BB0ADA" w:rsidP="002D5714">
            <w:pPr>
              <w:rPr>
                <w:rFonts w:ascii="Calibri" w:eastAsia="PMingLiU" w:hAnsi="Calibri" w:cs="Arial"/>
                <w:color w:val="0563C1"/>
                <w:sz w:val="22"/>
                <w:szCs w:val="22"/>
                <w:u w:val="single"/>
                <w:lang w:val="en-GB" w:eastAsia="en-GB"/>
              </w:rPr>
            </w:pPr>
            <w:hyperlink r:id="rId57" w:history="1">
              <w:r w:rsidR="002D5714" w:rsidRPr="002D5714">
                <w:rPr>
                  <w:rFonts w:eastAsia="PMingLiU"/>
                  <w:color w:val="0000FF"/>
                  <w:sz w:val="22"/>
                  <w:szCs w:val="22"/>
                  <w:u w:val="single"/>
                  <w:lang w:val="en-GB" w:eastAsia="en-GB"/>
                </w:rPr>
                <w:t>conesarata@gmail.com</w:t>
              </w:r>
            </w:hyperlink>
          </w:p>
        </w:tc>
        <w:tc>
          <w:tcPr>
            <w:tcW w:w="1540" w:type="dxa"/>
            <w:tcBorders>
              <w:top w:val="single" w:sz="4" w:space="0" w:color="auto"/>
              <w:left w:val="single" w:sz="4" w:space="0" w:color="auto"/>
              <w:bottom w:val="single" w:sz="4" w:space="0" w:color="auto"/>
              <w:right w:val="single" w:sz="4" w:space="0" w:color="auto"/>
            </w:tcBorders>
            <w:hideMark/>
          </w:tcPr>
          <w:p w14:paraId="74BC2FB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624 617 776</w:t>
            </w:r>
          </w:p>
        </w:tc>
      </w:tr>
      <w:tr w:rsidR="002D5714" w:rsidRPr="002D5714" w14:paraId="040700E1"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4C2DF52C"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1A238928"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605173C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2FD3BEF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DIALLO</w:t>
            </w:r>
          </w:p>
        </w:tc>
        <w:tc>
          <w:tcPr>
            <w:tcW w:w="1350" w:type="dxa"/>
            <w:tcBorders>
              <w:top w:val="single" w:sz="4" w:space="0" w:color="auto"/>
              <w:left w:val="single" w:sz="4" w:space="0" w:color="auto"/>
              <w:bottom w:val="single" w:sz="4" w:space="0" w:color="auto"/>
              <w:right w:val="single" w:sz="4" w:space="0" w:color="auto"/>
            </w:tcBorders>
            <w:hideMark/>
          </w:tcPr>
          <w:p w14:paraId="6951AE2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Aguibou</w:t>
            </w:r>
          </w:p>
        </w:tc>
        <w:tc>
          <w:tcPr>
            <w:tcW w:w="1586" w:type="dxa"/>
            <w:tcBorders>
              <w:top w:val="single" w:sz="4" w:space="0" w:color="auto"/>
              <w:left w:val="single" w:sz="4" w:space="0" w:color="auto"/>
              <w:bottom w:val="single" w:sz="4" w:space="0" w:color="auto"/>
              <w:right w:val="single" w:sz="4" w:space="0" w:color="auto"/>
            </w:tcBorders>
            <w:hideMark/>
          </w:tcPr>
          <w:p w14:paraId="7D92A5E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7DF41876" w14:textId="77777777" w:rsidR="002D5714" w:rsidRPr="002D5714" w:rsidRDefault="00BB0ADA" w:rsidP="002D5714">
            <w:pPr>
              <w:rPr>
                <w:rFonts w:ascii="Calibri" w:eastAsia="PMingLiU" w:hAnsi="Calibri" w:cs="Arial"/>
                <w:color w:val="0563C1"/>
                <w:sz w:val="22"/>
                <w:szCs w:val="22"/>
                <w:u w:val="single"/>
                <w:lang w:val="en-GB" w:eastAsia="en-GB"/>
              </w:rPr>
            </w:pPr>
            <w:hyperlink r:id="rId58" w:history="1">
              <w:r w:rsidR="002D5714" w:rsidRPr="002D5714">
                <w:rPr>
                  <w:rFonts w:eastAsia="PMingLiU"/>
                  <w:color w:val="0000FF"/>
                  <w:sz w:val="22"/>
                  <w:szCs w:val="22"/>
                  <w:u w:val="single"/>
                  <w:lang w:val="en-GB" w:eastAsia="en-GB"/>
                </w:rPr>
                <w:t>draguibou@gmail.com</w:t>
              </w:r>
            </w:hyperlink>
          </w:p>
        </w:tc>
        <w:tc>
          <w:tcPr>
            <w:tcW w:w="1540" w:type="dxa"/>
            <w:tcBorders>
              <w:top w:val="single" w:sz="4" w:space="0" w:color="auto"/>
              <w:left w:val="single" w:sz="4" w:space="0" w:color="auto"/>
              <w:bottom w:val="single" w:sz="4" w:space="0" w:color="auto"/>
              <w:right w:val="single" w:sz="4" w:space="0" w:color="auto"/>
            </w:tcBorders>
            <w:hideMark/>
          </w:tcPr>
          <w:p w14:paraId="185B5CE2"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624 617 788</w:t>
            </w:r>
          </w:p>
        </w:tc>
      </w:tr>
      <w:tr w:rsidR="002D5714" w:rsidRPr="002D5714" w14:paraId="7E3B2ADB"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1BB962C0"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320E1D44"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6285986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3A34E4C3"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 xml:space="preserve">DIALLO </w:t>
            </w:r>
          </w:p>
        </w:tc>
        <w:tc>
          <w:tcPr>
            <w:tcW w:w="1350" w:type="dxa"/>
            <w:tcBorders>
              <w:top w:val="single" w:sz="4" w:space="0" w:color="auto"/>
              <w:left w:val="single" w:sz="4" w:space="0" w:color="auto"/>
              <w:bottom w:val="single" w:sz="4" w:space="0" w:color="auto"/>
              <w:right w:val="single" w:sz="4" w:space="0" w:color="auto"/>
            </w:tcBorders>
            <w:hideMark/>
          </w:tcPr>
          <w:p w14:paraId="1A38E6E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Thierno Saidou</w:t>
            </w:r>
          </w:p>
        </w:tc>
        <w:tc>
          <w:tcPr>
            <w:tcW w:w="1586" w:type="dxa"/>
            <w:tcBorders>
              <w:top w:val="single" w:sz="4" w:space="0" w:color="auto"/>
              <w:left w:val="single" w:sz="4" w:space="0" w:color="auto"/>
              <w:bottom w:val="single" w:sz="4" w:space="0" w:color="auto"/>
              <w:right w:val="single" w:sz="4" w:space="0" w:color="auto"/>
            </w:tcBorders>
            <w:hideMark/>
          </w:tcPr>
          <w:p w14:paraId="13FF127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3B755F2A" w14:textId="77777777" w:rsidR="002D5714" w:rsidRPr="002D5714" w:rsidRDefault="00BB0ADA" w:rsidP="002D5714">
            <w:pPr>
              <w:rPr>
                <w:rFonts w:ascii="Calibri" w:eastAsia="PMingLiU" w:hAnsi="Calibri" w:cs="Arial"/>
                <w:color w:val="0563C1"/>
                <w:sz w:val="22"/>
                <w:szCs w:val="22"/>
                <w:u w:val="single"/>
                <w:lang w:val="en-GB" w:eastAsia="en-GB"/>
              </w:rPr>
            </w:pPr>
            <w:hyperlink r:id="rId59" w:history="1">
              <w:r w:rsidR="002D5714" w:rsidRPr="002D5714">
                <w:rPr>
                  <w:rFonts w:eastAsia="PMingLiU"/>
                  <w:color w:val="0000FF"/>
                  <w:sz w:val="22"/>
                  <w:szCs w:val="22"/>
                  <w:u w:val="single"/>
                  <w:lang w:val="en-GB" w:eastAsia="en-GB"/>
                </w:rPr>
                <w:t>monembo7@gmail.com</w:t>
              </w:r>
            </w:hyperlink>
          </w:p>
        </w:tc>
        <w:tc>
          <w:tcPr>
            <w:tcW w:w="1540" w:type="dxa"/>
            <w:tcBorders>
              <w:top w:val="single" w:sz="4" w:space="0" w:color="auto"/>
              <w:left w:val="single" w:sz="4" w:space="0" w:color="auto"/>
              <w:bottom w:val="single" w:sz="4" w:space="0" w:color="auto"/>
              <w:right w:val="single" w:sz="4" w:space="0" w:color="auto"/>
            </w:tcBorders>
            <w:hideMark/>
          </w:tcPr>
          <w:p w14:paraId="20D09D9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 xml:space="preserve">624 617 820 </w:t>
            </w:r>
          </w:p>
        </w:tc>
      </w:tr>
      <w:tr w:rsidR="002D5714" w:rsidRPr="002D5714" w14:paraId="6A9AF827"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3EE814CF"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68732FC6"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25FCB252"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6A51C323"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 xml:space="preserve">SYLLA </w:t>
            </w:r>
          </w:p>
        </w:tc>
        <w:tc>
          <w:tcPr>
            <w:tcW w:w="1350" w:type="dxa"/>
            <w:tcBorders>
              <w:top w:val="single" w:sz="4" w:space="0" w:color="auto"/>
              <w:left w:val="single" w:sz="4" w:space="0" w:color="auto"/>
              <w:bottom w:val="single" w:sz="4" w:space="0" w:color="auto"/>
              <w:right w:val="single" w:sz="4" w:space="0" w:color="auto"/>
            </w:tcBorders>
            <w:hideMark/>
          </w:tcPr>
          <w:p w14:paraId="5DB7FD4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Aissata Daouda</w:t>
            </w:r>
          </w:p>
        </w:tc>
        <w:tc>
          <w:tcPr>
            <w:tcW w:w="1586" w:type="dxa"/>
            <w:tcBorders>
              <w:top w:val="single" w:sz="4" w:space="0" w:color="auto"/>
              <w:left w:val="single" w:sz="4" w:space="0" w:color="auto"/>
              <w:bottom w:val="single" w:sz="4" w:space="0" w:color="auto"/>
              <w:right w:val="single" w:sz="4" w:space="0" w:color="auto"/>
            </w:tcBorders>
            <w:hideMark/>
          </w:tcPr>
          <w:p w14:paraId="767BF49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0C632B5C" w14:textId="77777777" w:rsidR="002D5714" w:rsidRPr="002D5714" w:rsidRDefault="00BB0ADA" w:rsidP="002D5714">
            <w:pPr>
              <w:rPr>
                <w:rFonts w:ascii="Calibri" w:eastAsia="PMingLiU" w:hAnsi="Calibri" w:cs="Arial"/>
                <w:color w:val="0563C1"/>
                <w:sz w:val="22"/>
                <w:szCs w:val="22"/>
                <w:u w:val="single"/>
                <w:lang w:val="en-GB" w:eastAsia="en-GB"/>
              </w:rPr>
            </w:pPr>
            <w:hyperlink r:id="rId60" w:history="1">
              <w:r w:rsidR="002D5714" w:rsidRPr="002D5714">
                <w:rPr>
                  <w:rFonts w:eastAsia="PMingLiU" w:cs="Arial"/>
                  <w:color w:val="0563C1"/>
                  <w:sz w:val="22"/>
                  <w:szCs w:val="22"/>
                  <w:u w:val="single"/>
                  <w:lang w:val="en-GB" w:eastAsia="en-GB"/>
                </w:rPr>
                <w:t>aissatadaouda90@gmail.com</w:t>
              </w:r>
            </w:hyperlink>
          </w:p>
        </w:tc>
        <w:tc>
          <w:tcPr>
            <w:tcW w:w="1540" w:type="dxa"/>
            <w:tcBorders>
              <w:top w:val="single" w:sz="4" w:space="0" w:color="auto"/>
              <w:left w:val="single" w:sz="4" w:space="0" w:color="auto"/>
              <w:bottom w:val="single" w:sz="4" w:space="0" w:color="auto"/>
              <w:right w:val="single" w:sz="4" w:space="0" w:color="auto"/>
            </w:tcBorders>
            <w:hideMark/>
          </w:tcPr>
          <w:p w14:paraId="53832E7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624 617 782</w:t>
            </w:r>
          </w:p>
        </w:tc>
      </w:tr>
      <w:tr w:rsidR="002D5714" w:rsidRPr="002D5714" w14:paraId="087F97E7"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hideMark/>
          </w:tcPr>
          <w:p w14:paraId="562ED758"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shd w:val="clear" w:color="auto" w:fill="FFFFFF"/>
          </w:tcPr>
          <w:p w14:paraId="5E082960"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shd w:val="clear" w:color="auto" w:fill="FFFFFF"/>
            <w:noWrap/>
            <w:hideMark/>
          </w:tcPr>
          <w:p w14:paraId="7A2842F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14:paraId="759E81B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TOURE</w:t>
            </w:r>
          </w:p>
        </w:tc>
        <w:tc>
          <w:tcPr>
            <w:tcW w:w="1350" w:type="dxa"/>
            <w:tcBorders>
              <w:top w:val="single" w:sz="4" w:space="0" w:color="auto"/>
              <w:left w:val="single" w:sz="4" w:space="0" w:color="auto"/>
              <w:bottom w:val="single" w:sz="4" w:space="0" w:color="auto"/>
              <w:right w:val="single" w:sz="4" w:space="0" w:color="auto"/>
            </w:tcBorders>
            <w:shd w:val="clear" w:color="auto" w:fill="FFFFFF"/>
            <w:hideMark/>
          </w:tcPr>
          <w:p w14:paraId="5CE3C803"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Ousmane</w:t>
            </w:r>
          </w:p>
        </w:tc>
        <w:tc>
          <w:tcPr>
            <w:tcW w:w="1586" w:type="dxa"/>
            <w:tcBorders>
              <w:top w:val="single" w:sz="4" w:space="0" w:color="auto"/>
              <w:left w:val="single" w:sz="4" w:space="0" w:color="auto"/>
              <w:bottom w:val="single" w:sz="4" w:space="0" w:color="auto"/>
              <w:right w:val="single" w:sz="4" w:space="0" w:color="auto"/>
            </w:tcBorders>
            <w:shd w:val="clear" w:color="auto" w:fill="FFFFFF"/>
            <w:hideMark/>
          </w:tcPr>
          <w:p w14:paraId="297CF64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shd w:val="clear" w:color="auto" w:fill="FFFFFF"/>
            <w:hideMark/>
          </w:tcPr>
          <w:p w14:paraId="3A00DDCE" w14:textId="77777777" w:rsidR="002D5714" w:rsidRPr="002D5714" w:rsidRDefault="002D5714" w:rsidP="002D5714">
            <w:pPr>
              <w:rPr>
                <w:rFonts w:ascii="Calibri" w:eastAsia="PMingLiU" w:hAnsi="Calibri" w:cs="Arial"/>
                <w:color w:val="0563C1"/>
                <w:sz w:val="22"/>
                <w:szCs w:val="22"/>
                <w:u w:val="single"/>
                <w:lang w:val="en-GB" w:eastAsia="en-GB"/>
              </w:rPr>
            </w:pPr>
            <w:r w:rsidRPr="002D5714">
              <w:rPr>
                <w:rFonts w:ascii="Calibri" w:eastAsia="PMingLiU" w:hAnsi="Calibri" w:cs="Arial"/>
                <w:color w:val="0563C1"/>
                <w:sz w:val="22"/>
                <w:szCs w:val="22"/>
                <w:u w:val="single"/>
                <w:lang w:val="en-GB" w:eastAsia="en-GB"/>
              </w:rPr>
              <w:t xml:space="preserve">drotoure@gmail.com </w:t>
            </w:r>
          </w:p>
        </w:tc>
        <w:tc>
          <w:tcPr>
            <w:tcW w:w="1540" w:type="dxa"/>
            <w:tcBorders>
              <w:top w:val="single" w:sz="4" w:space="0" w:color="auto"/>
              <w:left w:val="single" w:sz="4" w:space="0" w:color="auto"/>
              <w:bottom w:val="single" w:sz="4" w:space="0" w:color="auto"/>
              <w:right w:val="single" w:sz="4" w:space="0" w:color="auto"/>
            </w:tcBorders>
            <w:shd w:val="clear" w:color="auto" w:fill="FFFFFF"/>
            <w:hideMark/>
          </w:tcPr>
          <w:p w14:paraId="4E4A03C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624 617 836</w:t>
            </w:r>
          </w:p>
        </w:tc>
      </w:tr>
      <w:tr w:rsidR="002D5714" w:rsidRPr="002D5714" w14:paraId="2BEAEDF8"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21F32BA6"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08DE31A9"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4F23D64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2CDFDF8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KAMANO</w:t>
            </w:r>
          </w:p>
        </w:tc>
        <w:tc>
          <w:tcPr>
            <w:tcW w:w="1350" w:type="dxa"/>
            <w:tcBorders>
              <w:top w:val="single" w:sz="4" w:space="0" w:color="auto"/>
              <w:left w:val="single" w:sz="4" w:space="0" w:color="auto"/>
              <w:bottom w:val="single" w:sz="4" w:space="0" w:color="auto"/>
              <w:right w:val="single" w:sz="4" w:space="0" w:color="auto"/>
            </w:tcBorders>
            <w:hideMark/>
          </w:tcPr>
          <w:p w14:paraId="238FC67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Aly Antoine</w:t>
            </w:r>
          </w:p>
        </w:tc>
        <w:tc>
          <w:tcPr>
            <w:tcW w:w="1586" w:type="dxa"/>
            <w:tcBorders>
              <w:top w:val="single" w:sz="4" w:space="0" w:color="auto"/>
              <w:left w:val="single" w:sz="4" w:space="0" w:color="auto"/>
              <w:bottom w:val="single" w:sz="4" w:space="0" w:color="auto"/>
              <w:right w:val="single" w:sz="4" w:space="0" w:color="auto"/>
            </w:tcBorders>
            <w:hideMark/>
          </w:tcPr>
          <w:p w14:paraId="5DBD9D7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4E4DEC90" w14:textId="77777777" w:rsidR="002D5714" w:rsidRPr="002D5714" w:rsidRDefault="002D5714" w:rsidP="002D5714">
            <w:pPr>
              <w:rPr>
                <w:rFonts w:ascii="Calibri" w:eastAsia="PMingLiU" w:hAnsi="Calibri" w:cs="Arial"/>
                <w:color w:val="0563C1"/>
                <w:sz w:val="22"/>
                <w:szCs w:val="22"/>
                <w:u w:val="single"/>
                <w:lang w:val="en-GB" w:eastAsia="en-GB"/>
              </w:rPr>
            </w:pPr>
            <w:r w:rsidRPr="002D5714">
              <w:rPr>
                <w:rFonts w:ascii="Calibri" w:eastAsia="PMingLiU" w:hAnsi="Calibri" w:cs="Arial"/>
                <w:color w:val="0563C1"/>
                <w:sz w:val="22"/>
                <w:szCs w:val="22"/>
                <w:u w:val="single"/>
                <w:lang w:val="en-GB" w:eastAsia="en-GB"/>
              </w:rPr>
              <w:t xml:space="preserve">aantoinekamano@yahoo.fr </w:t>
            </w:r>
          </w:p>
        </w:tc>
        <w:tc>
          <w:tcPr>
            <w:tcW w:w="1540" w:type="dxa"/>
            <w:tcBorders>
              <w:top w:val="single" w:sz="4" w:space="0" w:color="auto"/>
              <w:left w:val="single" w:sz="4" w:space="0" w:color="auto"/>
              <w:bottom w:val="single" w:sz="4" w:space="0" w:color="auto"/>
              <w:right w:val="single" w:sz="4" w:space="0" w:color="auto"/>
            </w:tcBorders>
            <w:hideMark/>
          </w:tcPr>
          <w:p w14:paraId="1E793B7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624 617 798</w:t>
            </w:r>
          </w:p>
        </w:tc>
      </w:tr>
      <w:tr w:rsidR="002D5714" w:rsidRPr="002D5714" w14:paraId="2536FA9C" w14:textId="77777777" w:rsidTr="00900CD8">
        <w:trPr>
          <w:trHeight w:val="260"/>
          <w:jc w:val="center"/>
        </w:trPr>
        <w:tc>
          <w:tcPr>
            <w:tcW w:w="878" w:type="dxa"/>
            <w:tcBorders>
              <w:top w:val="single" w:sz="4" w:space="0" w:color="auto"/>
              <w:left w:val="single" w:sz="4" w:space="0" w:color="auto"/>
              <w:bottom w:val="single" w:sz="4" w:space="0" w:color="auto"/>
              <w:right w:val="single" w:sz="4" w:space="0" w:color="auto"/>
            </w:tcBorders>
            <w:hideMark/>
          </w:tcPr>
          <w:p w14:paraId="6EB7FD3C"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237AE534"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3CB7BFD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7047DE5E"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KOULIBALY</w:t>
            </w:r>
          </w:p>
        </w:tc>
        <w:tc>
          <w:tcPr>
            <w:tcW w:w="1350" w:type="dxa"/>
            <w:tcBorders>
              <w:top w:val="single" w:sz="4" w:space="0" w:color="auto"/>
              <w:left w:val="single" w:sz="4" w:space="0" w:color="auto"/>
              <w:bottom w:val="single" w:sz="4" w:space="0" w:color="auto"/>
              <w:right w:val="single" w:sz="4" w:space="0" w:color="auto"/>
            </w:tcBorders>
            <w:hideMark/>
          </w:tcPr>
          <w:p w14:paraId="102AA3A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Mamadi</w:t>
            </w:r>
          </w:p>
        </w:tc>
        <w:tc>
          <w:tcPr>
            <w:tcW w:w="1586" w:type="dxa"/>
            <w:tcBorders>
              <w:top w:val="single" w:sz="4" w:space="0" w:color="auto"/>
              <w:left w:val="single" w:sz="4" w:space="0" w:color="auto"/>
              <w:bottom w:val="single" w:sz="4" w:space="0" w:color="auto"/>
              <w:right w:val="single" w:sz="4" w:space="0" w:color="auto"/>
            </w:tcBorders>
            <w:hideMark/>
          </w:tcPr>
          <w:p w14:paraId="4ED4051E"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36D5417E" w14:textId="77777777" w:rsidR="002D5714" w:rsidRPr="002D5714" w:rsidRDefault="00BB0ADA" w:rsidP="002D5714">
            <w:pPr>
              <w:rPr>
                <w:rFonts w:ascii="Calibri" w:eastAsia="PMingLiU" w:hAnsi="Calibri" w:cs="Arial"/>
                <w:color w:val="0563C1"/>
                <w:sz w:val="22"/>
                <w:szCs w:val="22"/>
                <w:u w:val="single"/>
                <w:lang w:val="en-GB" w:eastAsia="en-GB"/>
              </w:rPr>
            </w:pPr>
            <w:hyperlink r:id="rId61" w:history="1">
              <w:r w:rsidR="002D5714" w:rsidRPr="002D5714">
                <w:rPr>
                  <w:rFonts w:eastAsia="PMingLiU"/>
                  <w:color w:val="0000FF"/>
                  <w:sz w:val="22"/>
                  <w:szCs w:val="22"/>
                  <w:u w:val="single"/>
                  <w:lang w:val="en-GB" w:eastAsia="en-GB"/>
                </w:rPr>
                <w:t>mdkoulibaly@yahoo.fr</w:t>
              </w:r>
            </w:hyperlink>
          </w:p>
        </w:tc>
        <w:tc>
          <w:tcPr>
            <w:tcW w:w="1540" w:type="dxa"/>
            <w:tcBorders>
              <w:top w:val="single" w:sz="4" w:space="0" w:color="auto"/>
              <w:left w:val="single" w:sz="4" w:space="0" w:color="auto"/>
              <w:bottom w:val="single" w:sz="4" w:space="0" w:color="auto"/>
              <w:right w:val="single" w:sz="4" w:space="0" w:color="auto"/>
            </w:tcBorders>
            <w:hideMark/>
          </w:tcPr>
          <w:p w14:paraId="2E3E405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624 617 799</w:t>
            </w:r>
          </w:p>
        </w:tc>
      </w:tr>
      <w:tr w:rsidR="002D5714" w:rsidRPr="002D5714" w14:paraId="40DA5472"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hideMark/>
          </w:tcPr>
          <w:p w14:paraId="49390491"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shd w:val="clear" w:color="auto" w:fill="FFFFFF"/>
          </w:tcPr>
          <w:p w14:paraId="2B711CF9"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shd w:val="clear" w:color="auto" w:fill="FFFFFF"/>
            <w:noWrap/>
            <w:hideMark/>
          </w:tcPr>
          <w:p w14:paraId="2D713E52"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14:paraId="6C709CA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MILLIMONO</w:t>
            </w:r>
          </w:p>
        </w:tc>
        <w:tc>
          <w:tcPr>
            <w:tcW w:w="1350" w:type="dxa"/>
            <w:tcBorders>
              <w:top w:val="single" w:sz="4" w:space="0" w:color="auto"/>
              <w:left w:val="single" w:sz="4" w:space="0" w:color="auto"/>
              <w:bottom w:val="single" w:sz="4" w:space="0" w:color="auto"/>
              <w:right w:val="single" w:sz="4" w:space="0" w:color="auto"/>
            </w:tcBorders>
            <w:shd w:val="clear" w:color="auto" w:fill="FFFFFF"/>
            <w:hideMark/>
          </w:tcPr>
          <w:p w14:paraId="37370D8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Tamba Jacques</w:t>
            </w:r>
          </w:p>
        </w:tc>
        <w:tc>
          <w:tcPr>
            <w:tcW w:w="1586" w:type="dxa"/>
            <w:tcBorders>
              <w:top w:val="single" w:sz="4" w:space="0" w:color="auto"/>
              <w:left w:val="single" w:sz="4" w:space="0" w:color="auto"/>
              <w:bottom w:val="single" w:sz="4" w:space="0" w:color="auto"/>
              <w:right w:val="single" w:sz="4" w:space="0" w:color="auto"/>
            </w:tcBorders>
            <w:shd w:val="clear" w:color="auto" w:fill="FFFFFF"/>
            <w:hideMark/>
          </w:tcPr>
          <w:p w14:paraId="560F0A4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shd w:val="clear" w:color="auto" w:fill="FFFFFF"/>
            <w:hideMark/>
          </w:tcPr>
          <w:p w14:paraId="1A0A008A" w14:textId="77777777" w:rsidR="002D5714" w:rsidRPr="002D5714" w:rsidRDefault="002D5714" w:rsidP="002D5714">
            <w:pPr>
              <w:rPr>
                <w:rFonts w:ascii="Calibri" w:eastAsia="PMingLiU" w:hAnsi="Calibri" w:cs="Arial"/>
                <w:color w:val="0563C1"/>
                <w:sz w:val="22"/>
                <w:szCs w:val="22"/>
                <w:u w:val="single"/>
                <w:lang w:val="en-GB" w:eastAsia="en-GB"/>
              </w:rPr>
            </w:pPr>
            <w:r w:rsidRPr="002D5714">
              <w:rPr>
                <w:rFonts w:ascii="Calibri" w:eastAsia="PMingLiU" w:hAnsi="Calibri" w:cs="Arial"/>
                <w:color w:val="0563C1"/>
                <w:sz w:val="22"/>
                <w:szCs w:val="22"/>
                <w:u w:val="single"/>
                <w:lang w:val="en-GB" w:eastAsia="en-GB"/>
              </w:rPr>
              <w:t xml:space="preserve">millimounotambajacques@yahoo.com  </w:t>
            </w:r>
          </w:p>
        </w:tc>
        <w:tc>
          <w:tcPr>
            <w:tcW w:w="1540" w:type="dxa"/>
            <w:tcBorders>
              <w:top w:val="single" w:sz="4" w:space="0" w:color="auto"/>
              <w:left w:val="single" w:sz="4" w:space="0" w:color="auto"/>
              <w:bottom w:val="single" w:sz="4" w:space="0" w:color="auto"/>
              <w:right w:val="single" w:sz="4" w:space="0" w:color="auto"/>
            </w:tcBorders>
            <w:shd w:val="clear" w:color="auto" w:fill="FFFFFF"/>
            <w:hideMark/>
          </w:tcPr>
          <w:p w14:paraId="0CC37132"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624 617 906</w:t>
            </w:r>
          </w:p>
        </w:tc>
      </w:tr>
      <w:tr w:rsidR="002D5714" w:rsidRPr="002D5714" w14:paraId="64120960" w14:textId="77777777" w:rsidTr="00900CD8">
        <w:trPr>
          <w:trHeight w:val="435"/>
          <w:jc w:val="center"/>
        </w:trPr>
        <w:tc>
          <w:tcPr>
            <w:tcW w:w="878" w:type="dxa"/>
            <w:tcBorders>
              <w:top w:val="single" w:sz="4" w:space="0" w:color="auto"/>
              <w:left w:val="single" w:sz="4" w:space="0" w:color="auto"/>
              <w:bottom w:val="single" w:sz="4" w:space="0" w:color="auto"/>
              <w:right w:val="single" w:sz="4" w:space="0" w:color="auto"/>
            </w:tcBorders>
            <w:hideMark/>
          </w:tcPr>
          <w:p w14:paraId="12E6659F"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2BD52DD3"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2C4BBFCF"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Coordinateur sur le terrain de l’OMS</w:t>
            </w:r>
          </w:p>
        </w:tc>
        <w:tc>
          <w:tcPr>
            <w:tcW w:w="2160" w:type="dxa"/>
            <w:tcBorders>
              <w:top w:val="single" w:sz="4" w:space="0" w:color="auto"/>
              <w:left w:val="single" w:sz="4" w:space="0" w:color="auto"/>
              <w:bottom w:val="single" w:sz="4" w:space="0" w:color="auto"/>
              <w:right w:val="single" w:sz="4" w:space="0" w:color="auto"/>
            </w:tcBorders>
            <w:hideMark/>
          </w:tcPr>
          <w:p w14:paraId="710A3EF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TWAHIRWA</w:t>
            </w:r>
          </w:p>
        </w:tc>
        <w:tc>
          <w:tcPr>
            <w:tcW w:w="1350" w:type="dxa"/>
            <w:tcBorders>
              <w:top w:val="single" w:sz="4" w:space="0" w:color="auto"/>
              <w:left w:val="single" w:sz="4" w:space="0" w:color="auto"/>
              <w:bottom w:val="single" w:sz="4" w:space="0" w:color="auto"/>
              <w:right w:val="single" w:sz="4" w:space="0" w:color="auto"/>
            </w:tcBorders>
            <w:hideMark/>
          </w:tcPr>
          <w:p w14:paraId="311E709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Gerard</w:t>
            </w:r>
          </w:p>
        </w:tc>
        <w:tc>
          <w:tcPr>
            <w:tcW w:w="1586" w:type="dxa"/>
            <w:tcBorders>
              <w:top w:val="single" w:sz="4" w:space="0" w:color="auto"/>
              <w:left w:val="single" w:sz="4" w:space="0" w:color="auto"/>
              <w:bottom w:val="single" w:sz="4" w:space="0" w:color="auto"/>
              <w:right w:val="single" w:sz="4" w:space="0" w:color="auto"/>
            </w:tcBorders>
            <w:hideMark/>
          </w:tcPr>
          <w:p w14:paraId="77D2D34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INT</w:t>
            </w:r>
          </w:p>
        </w:tc>
        <w:tc>
          <w:tcPr>
            <w:tcW w:w="3174" w:type="dxa"/>
            <w:tcBorders>
              <w:top w:val="single" w:sz="4" w:space="0" w:color="auto"/>
              <w:left w:val="single" w:sz="4" w:space="0" w:color="auto"/>
              <w:bottom w:val="single" w:sz="4" w:space="0" w:color="auto"/>
              <w:right w:val="single" w:sz="4" w:space="0" w:color="auto"/>
            </w:tcBorders>
            <w:hideMark/>
          </w:tcPr>
          <w:p w14:paraId="6E005D5A" w14:textId="77777777" w:rsidR="002D5714" w:rsidRPr="002D5714" w:rsidRDefault="00BB0ADA" w:rsidP="002D5714">
            <w:pPr>
              <w:rPr>
                <w:rFonts w:ascii="Calibri" w:eastAsia="PMingLiU" w:hAnsi="Calibri" w:cs="Arial"/>
                <w:color w:val="0563C1"/>
                <w:sz w:val="22"/>
                <w:szCs w:val="22"/>
                <w:u w:val="single"/>
                <w:lang w:val="en-GB" w:eastAsia="en-GB"/>
              </w:rPr>
            </w:pPr>
            <w:hyperlink r:id="rId62" w:history="1">
              <w:r w:rsidR="002D5714" w:rsidRPr="002D5714">
                <w:rPr>
                  <w:rFonts w:eastAsia="PMingLiU" w:cs="Arial"/>
                  <w:color w:val="0563C1"/>
                  <w:sz w:val="22"/>
                  <w:szCs w:val="22"/>
                  <w:u w:val="single"/>
                  <w:lang w:val="en-GB" w:eastAsia="en-GB"/>
                </w:rPr>
                <w:t xml:space="preserve">gtwahirwa@gmail.com </w:t>
              </w:r>
            </w:hyperlink>
          </w:p>
        </w:tc>
        <w:tc>
          <w:tcPr>
            <w:tcW w:w="1540" w:type="dxa"/>
            <w:tcBorders>
              <w:top w:val="single" w:sz="4" w:space="0" w:color="auto"/>
              <w:left w:val="single" w:sz="4" w:space="0" w:color="auto"/>
              <w:bottom w:val="single" w:sz="4" w:space="0" w:color="auto"/>
              <w:right w:val="single" w:sz="4" w:space="0" w:color="auto"/>
            </w:tcBorders>
            <w:hideMark/>
          </w:tcPr>
          <w:p w14:paraId="1F0A2AA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621 845 378</w:t>
            </w:r>
          </w:p>
        </w:tc>
      </w:tr>
      <w:tr w:rsidR="002D5714" w:rsidRPr="002D5714" w14:paraId="303D5DC8" w14:textId="77777777" w:rsidTr="00900CD8">
        <w:trPr>
          <w:trHeight w:val="270"/>
          <w:jc w:val="center"/>
        </w:trPr>
        <w:tc>
          <w:tcPr>
            <w:tcW w:w="878" w:type="dxa"/>
            <w:tcBorders>
              <w:top w:val="single" w:sz="4" w:space="0" w:color="auto"/>
              <w:left w:val="single" w:sz="4" w:space="0" w:color="auto"/>
              <w:bottom w:val="single" w:sz="4" w:space="0" w:color="auto"/>
              <w:right w:val="single" w:sz="4" w:space="0" w:color="auto"/>
            </w:tcBorders>
            <w:hideMark/>
          </w:tcPr>
          <w:p w14:paraId="22FE8C22"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1A52A92E"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7030FF5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hideMark/>
          </w:tcPr>
          <w:p w14:paraId="22C1485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KOUROUMA</w:t>
            </w:r>
          </w:p>
        </w:tc>
        <w:tc>
          <w:tcPr>
            <w:tcW w:w="1350" w:type="dxa"/>
            <w:tcBorders>
              <w:top w:val="single" w:sz="4" w:space="0" w:color="auto"/>
              <w:left w:val="single" w:sz="4" w:space="0" w:color="auto"/>
              <w:bottom w:val="single" w:sz="4" w:space="0" w:color="auto"/>
              <w:right w:val="single" w:sz="4" w:space="0" w:color="auto"/>
            </w:tcBorders>
            <w:hideMark/>
          </w:tcPr>
          <w:p w14:paraId="6C01C67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Fode Sory</w:t>
            </w:r>
          </w:p>
        </w:tc>
        <w:tc>
          <w:tcPr>
            <w:tcW w:w="1586" w:type="dxa"/>
            <w:tcBorders>
              <w:top w:val="single" w:sz="4" w:space="0" w:color="auto"/>
              <w:left w:val="single" w:sz="4" w:space="0" w:color="auto"/>
              <w:bottom w:val="single" w:sz="4" w:space="0" w:color="auto"/>
              <w:right w:val="single" w:sz="4" w:space="0" w:color="auto"/>
            </w:tcBorders>
            <w:hideMark/>
          </w:tcPr>
          <w:p w14:paraId="1B27A34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hideMark/>
          </w:tcPr>
          <w:p w14:paraId="5AB0227A" w14:textId="77777777" w:rsidR="002D5714" w:rsidRPr="002D5714" w:rsidRDefault="002D5714" w:rsidP="002D5714">
            <w:pPr>
              <w:rPr>
                <w:rFonts w:ascii="Calibri" w:eastAsia="PMingLiU" w:hAnsi="Calibri" w:cs="Arial"/>
                <w:color w:val="0563C1"/>
                <w:sz w:val="22"/>
                <w:szCs w:val="22"/>
                <w:u w:val="single"/>
                <w:lang w:val="en-GB" w:eastAsia="en-GB"/>
              </w:rPr>
            </w:pPr>
            <w:r w:rsidRPr="002D5714">
              <w:rPr>
                <w:rFonts w:ascii="Calibri" w:eastAsia="PMingLiU" w:hAnsi="Calibri" w:cs="Arial"/>
                <w:color w:val="0563C1"/>
                <w:sz w:val="22"/>
                <w:szCs w:val="22"/>
                <w:u w:val="single"/>
                <w:lang w:val="en-GB" w:eastAsia="en-GB"/>
              </w:rPr>
              <w:t xml:space="preserve">docteuridal@yahoo.fr  </w:t>
            </w:r>
          </w:p>
        </w:tc>
        <w:tc>
          <w:tcPr>
            <w:tcW w:w="1540" w:type="dxa"/>
            <w:tcBorders>
              <w:top w:val="single" w:sz="4" w:space="0" w:color="auto"/>
              <w:left w:val="single" w:sz="4" w:space="0" w:color="auto"/>
              <w:bottom w:val="single" w:sz="4" w:space="0" w:color="auto"/>
              <w:right w:val="single" w:sz="4" w:space="0" w:color="auto"/>
            </w:tcBorders>
            <w:hideMark/>
          </w:tcPr>
          <w:p w14:paraId="32277EE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624 617 882</w:t>
            </w:r>
          </w:p>
        </w:tc>
      </w:tr>
      <w:tr w:rsidR="002D5714" w:rsidRPr="002D5714" w14:paraId="1B73FFF5"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3D439C05"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tcPr>
          <w:p w14:paraId="65C547E7" w14:textId="77777777" w:rsidR="002D5714" w:rsidRPr="002D5714" w:rsidRDefault="002D5714" w:rsidP="002D5714">
            <w:pPr>
              <w:rPr>
                <w:rFonts w:ascii="Calibri" w:eastAsia="PMingLiU" w:hAnsi="Calibri" w:cs="Arial"/>
                <w:sz w:val="22"/>
                <w:szCs w:val="22"/>
                <w:lang w:val="en-GB" w:eastAsia="en-GB"/>
              </w:rPr>
            </w:pPr>
          </w:p>
        </w:tc>
        <w:tc>
          <w:tcPr>
            <w:tcW w:w="4049" w:type="dxa"/>
            <w:tcBorders>
              <w:top w:val="single" w:sz="4" w:space="0" w:color="auto"/>
              <w:left w:val="single" w:sz="4" w:space="0" w:color="auto"/>
              <w:bottom w:val="single" w:sz="4" w:space="0" w:color="auto"/>
              <w:right w:val="single" w:sz="4" w:space="0" w:color="auto"/>
            </w:tcBorders>
            <w:noWrap/>
            <w:hideMark/>
          </w:tcPr>
          <w:p w14:paraId="5C644BD2"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Épidémiologiste OMS/MG</w:t>
            </w:r>
          </w:p>
        </w:tc>
        <w:tc>
          <w:tcPr>
            <w:tcW w:w="2160" w:type="dxa"/>
            <w:tcBorders>
              <w:top w:val="single" w:sz="4" w:space="0" w:color="auto"/>
              <w:left w:val="single" w:sz="4" w:space="0" w:color="auto"/>
              <w:bottom w:val="single" w:sz="4" w:space="0" w:color="auto"/>
              <w:right w:val="single" w:sz="4" w:space="0" w:color="auto"/>
            </w:tcBorders>
            <w:noWrap/>
          </w:tcPr>
          <w:p w14:paraId="0EBDAE81" w14:textId="77777777" w:rsidR="002D5714" w:rsidRPr="002D5714" w:rsidRDefault="002D5714" w:rsidP="002D5714">
            <w:pPr>
              <w:rPr>
                <w:rFonts w:ascii="Calibri" w:eastAsia="PMingLiU" w:hAnsi="Calibri" w:cs="Arial"/>
                <w:color w:val="000000"/>
                <w:sz w:val="22"/>
                <w:szCs w:val="22"/>
                <w:lang w:val="en-GB" w:eastAsia="en-GB"/>
              </w:rPr>
            </w:pPr>
          </w:p>
        </w:tc>
        <w:tc>
          <w:tcPr>
            <w:tcW w:w="1350" w:type="dxa"/>
            <w:tcBorders>
              <w:top w:val="single" w:sz="4" w:space="0" w:color="auto"/>
              <w:left w:val="single" w:sz="4" w:space="0" w:color="auto"/>
              <w:bottom w:val="single" w:sz="4" w:space="0" w:color="auto"/>
              <w:right w:val="single" w:sz="4" w:space="0" w:color="auto"/>
            </w:tcBorders>
            <w:hideMark/>
          </w:tcPr>
          <w:p w14:paraId="1DDC3DF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Pascal</w:t>
            </w:r>
          </w:p>
        </w:tc>
        <w:tc>
          <w:tcPr>
            <w:tcW w:w="1586" w:type="dxa"/>
            <w:tcBorders>
              <w:top w:val="single" w:sz="4" w:space="0" w:color="auto"/>
              <w:left w:val="single" w:sz="4" w:space="0" w:color="auto"/>
              <w:bottom w:val="single" w:sz="4" w:space="0" w:color="auto"/>
              <w:right w:val="single" w:sz="4" w:space="0" w:color="auto"/>
            </w:tcBorders>
            <w:hideMark/>
          </w:tcPr>
          <w:p w14:paraId="254201ED"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NAT</w:t>
            </w:r>
          </w:p>
        </w:tc>
        <w:tc>
          <w:tcPr>
            <w:tcW w:w="3174" w:type="dxa"/>
            <w:tcBorders>
              <w:top w:val="single" w:sz="4" w:space="0" w:color="auto"/>
              <w:left w:val="single" w:sz="4" w:space="0" w:color="auto"/>
              <w:bottom w:val="single" w:sz="4" w:space="0" w:color="auto"/>
              <w:right w:val="single" w:sz="4" w:space="0" w:color="auto"/>
            </w:tcBorders>
            <w:noWrap/>
          </w:tcPr>
          <w:p w14:paraId="7050A8BA"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6165DA49" w14:textId="77777777" w:rsidR="002D5714" w:rsidRPr="002D5714" w:rsidRDefault="002D5714" w:rsidP="002D5714">
            <w:pPr>
              <w:rPr>
                <w:rFonts w:ascii="Calibri" w:eastAsia="PMingLiU" w:hAnsi="Calibri" w:cs="Arial"/>
                <w:color w:val="000000"/>
                <w:sz w:val="22"/>
                <w:szCs w:val="22"/>
                <w:lang w:val="en-GB" w:eastAsia="en-GB"/>
              </w:rPr>
            </w:pPr>
            <w:r w:rsidRPr="002D5714">
              <w:rPr>
                <w:rFonts w:ascii="Calibri" w:eastAsia="PMingLiU" w:hAnsi="Calibri" w:cs="Arial"/>
                <w:color w:val="000000"/>
                <w:sz w:val="22"/>
                <w:szCs w:val="22"/>
                <w:lang w:val="en-GB" w:eastAsia="en-GB"/>
              </w:rPr>
              <w:t>624 82 80 95</w:t>
            </w:r>
          </w:p>
        </w:tc>
      </w:tr>
      <w:tr w:rsidR="002D5714" w:rsidRPr="002D5714" w14:paraId="3407EE4F"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4C2F20E3"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470D77DC"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Communauté urbaine</w:t>
            </w:r>
          </w:p>
        </w:tc>
        <w:tc>
          <w:tcPr>
            <w:tcW w:w="4049" w:type="dxa"/>
            <w:tcBorders>
              <w:top w:val="single" w:sz="4" w:space="0" w:color="auto"/>
              <w:left w:val="single" w:sz="4" w:space="0" w:color="auto"/>
              <w:bottom w:val="single" w:sz="4" w:space="0" w:color="auto"/>
              <w:right w:val="single" w:sz="4" w:space="0" w:color="auto"/>
            </w:tcBorders>
            <w:noWrap/>
            <w:hideMark/>
          </w:tcPr>
          <w:p w14:paraId="6ABC132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4C36BB8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Nanfadima</w:t>
            </w:r>
          </w:p>
        </w:tc>
        <w:tc>
          <w:tcPr>
            <w:tcW w:w="1350" w:type="dxa"/>
            <w:tcBorders>
              <w:top w:val="single" w:sz="4" w:space="0" w:color="auto"/>
              <w:left w:val="single" w:sz="4" w:space="0" w:color="auto"/>
              <w:bottom w:val="single" w:sz="4" w:space="0" w:color="auto"/>
              <w:right w:val="single" w:sz="4" w:space="0" w:color="auto"/>
            </w:tcBorders>
            <w:hideMark/>
          </w:tcPr>
          <w:p w14:paraId="6AC4B1A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Condé</w:t>
            </w:r>
          </w:p>
        </w:tc>
        <w:tc>
          <w:tcPr>
            <w:tcW w:w="1586" w:type="dxa"/>
            <w:tcBorders>
              <w:top w:val="single" w:sz="4" w:space="0" w:color="auto"/>
              <w:left w:val="single" w:sz="4" w:space="0" w:color="auto"/>
              <w:bottom w:val="single" w:sz="4" w:space="0" w:color="auto"/>
              <w:right w:val="single" w:sz="4" w:space="0" w:color="auto"/>
            </w:tcBorders>
          </w:tcPr>
          <w:p w14:paraId="16E174A6"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6244B156"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0054107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+224 664 88 32 16</w:t>
            </w:r>
          </w:p>
        </w:tc>
      </w:tr>
      <w:tr w:rsidR="002D5714" w:rsidRPr="002D5714" w14:paraId="13F39B49"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2F4E2112"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635785A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Maférinyah</w:t>
            </w:r>
          </w:p>
        </w:tc>
        <w:tc>
          <w:tcPr>
            <w:tcW w:w="4049" w:type="dxa"/>
            <w:tcBorders>
              <w:top w:val="single" w:sz="4" w:space="0" w:color="auto"/>
              <w:left w:val="single" w:sz="4" w:space="0" w:color="auto"/>
              <w:bottom w:val="single" w:sz="4" w:space="0" w:color="auto"/>
              <w:right w:val="single" w:sz="4" w:space="0" w:color="auto"/>
            </w:tcBorders>
            <w:noWrap/>
            <w:hideMark/>
          </w:tcPr>
          <w:p w14:paraId="2FAE666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509A588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Ansoumane</w:t>
            </w:r>
          </w:p>
        </w:tc>
        <w:tc>
          <w:tcPr>
            <w:tcW w:w="1350" w:type="dxa"/>
            <w:tcBorders>
              <w:top w:val="single" w:sz="4" w:space="0" w:color="auto"/>
              <w:left w:val="single" w:sz="4" w:space="0" w:color="auto"/>
              <w:bottom w:val="single" w:sz="4" w:space="0" w:color="auto"/>
              <w:right w:val="single" w:sz="4" w:space="0" w:color="auto"/>
            </w:tcBorders>
            <w:hideMark/>
          </w:tcPr>
          <w:p w14:paraId="4C42085B"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Cissé</w:t>
            </w:r>
          </w:p>
        </w:tc>
        <w:tc>
          <w:tcPr>
            <w:tcW w:w="1586" w:type="dxa"/>
            <w:tcBorders>
              <w:top w:val="single" w:sz="4" w:space="0" w:color="auto"/>
              <w:left w:val="single" w:sz="4" w:space="0" w:color="auto"/>
              <w:bottom w:val="single" w:sz="4" w:space="0" w:color="auto"/>
              <w:right w:val="single" w:sz="4" w:space="0" w:color="auto"/>
            </w:tcBorders>
          </w:tcPr>
          <w:p w14:paraId="1C476D71"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7B3E4E7B"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2055BAF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+224 664 35 39 88</w:t>
            </w:r>
          </w:p>
        </w:tc>
      </w:tr>
      <w:tr w:rsidR="002D5714" w:rsidRPr="002D5714" w14:paraId="2CCB942E"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03990069"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1FB17B2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Kaliah</w:t>
            </w:r>
          </w:p>
        </w:tc>
        <w:tc>
          <w:tcPr>
            <w:tcW w:w="4049" w:type="dxa"/>
            <w:tcBorders>
              <w:top w:val="single" w:sz="4" w:space="0" w:color="auto"/>
              <w:left w:val="single" w:sz="4" w:space="0" w:color="auto"/>
              <w:bottom w:val="single" w:sz="4" w:space="0" w:color="auto"/>
              <w:right w:val="single" w:sz="4" w:space="0" w:color="auto"/>
            </w:tcBorders>
            <w:noWrap/>
            <w:hideMark/>
          </w:tcPr>
          <w:p w14:paraId="76CEA48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708A46E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Fassouma</w:t>
            </w:r>
          </w:p>
        </w:tc>
        <w:tc>
          <w:tcPr>
            <w:tcW w:w="1350" w:type="dxa"/>
            <w:tcBorders>
              <w:top w:val="single" w:sz="4" w:space="0" w:color="auto"/>
              <w:left w:val="single" w:sz="4" w:space="0" w:color="auto"/>
              <w:bottom w:val="single" w:sz="4" w:space="0" w:color="auto"/>
              <w:right w:val="single" w:sz="4" w:space="0" w:color="auto"/>
            </w:tcBorders>
            <w:hideMark/>
          </w:tcPr>
          <w:p w14:paraId="03CDE103"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Mara</w:t>
            </w:r>
          </w:p>
        </w:tc>
        <w:tc>
          <w:tcPr>
            <w:tcW w:w="1586" w:type="dxa"/>
            <w:tcBorders>
              <w:top w:val="single" w:sz="4" w:space="0" w:color="auto"/>
              <w:left w:val="single" w:sz="4" w:space="0" w:color="auto"/>
              <w:bottom w:val="single" w:sz="4" w:space="0" w:color="auto"/>
              <w:right w:val="single" w:sz="4" w:space="0" w:color="auto"/>
            </w:tcBorders>
          </w:tcPr>
          <w:p w14:paraId="0C3DD748"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3B78988F"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1C8170A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+224 655 59 06 49</w:t>
            </w:r>
          </w:p>
        </w:tc>
      </w:tr>
      <w:tr w:rsidR="002D5714" w:rsidRPr="002D5714" w14:paraId="51793772"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19007690"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41D1419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Allassoyah</w:t>
            </w:r>
          </w:p>
        </w:tc>
        <w:tc>
          <w:tcPr>
            <w:tcW w:w="4049" w:type="dxa"/>
            <w:tcBorders>
              <w:top w:val="single" w:sz="4" w:space="0" w:color="auto"/>
              <w:left w:val="single" w:sz="4" w:space="0" w:color="auto"/>
              <w:bottom w:val="single" w:sz="4" w:space="0" w:color="auto"/>
              <w:right w:val="single" w:sz="4" w:space="0" w:color="auto"/>
            </w:tcBorders>
            <w:noWrap/>
            <w:hideMark/>
          </w:tcPr>
          <w:p w14:paraId="13CDF81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5FB2CFE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Mohamed</w:t>
            </w:r>
          </w:p>
        </w:tc>
        <w:tc>
          <w:tcPr>
            <w:tcW w:w="1350" w:type="dxa"/>
            <w:tcBorders>
              <w:top w:val="single" w:sz="4" w:space="0" w:color="auto"/>
              <w:left w:val="single" w:sz="4" w:space="0" w:color="auto"/>
              <w:bottom w:val="single" w:sz="4" w:space="0" w:color="auto"/>
              <w:right w:val="single" w:sz="4" w:space="0" w:color="auto"/>
            </w:tcBorders>
            <w:hideMark/>
          </w:tcPr>
          <w:p w14:paraId="69DF03C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Camara</w:t>
            </w:r>
          </w:p>
        </w:tc>
        <w:tc>
          <w:tcPr>
            <w:tcW w:w="1586" w:type="dxa"/>
            <w:tcBorders>
              <w:top w:val="single" w:sz="4" w:space="0" w:color="auto"/>
              <w:left w:val="single" w:sz="4" w:space="0" w:color="auto"/>
              <w:bottom w:val="single" w:sz="4" w:space="0" w:color="auto"/>
              <w:right w:val="single" w:sz="4" w:space="0" w:color="auto"/>
            </w:tcBorders>
          </w:tcPr>
          <w:p w14:paraId="2BA08C83"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493B3F4D"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00F8524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+224 621 62 59 33</w:t>
            </w:r>
          </w:p>
        </w:tc>
      </w:tr>
      <w:tr w:rsidR="002D5714" w:rsidRPr="002D5714" w14:paraId="733E5152"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3250FF76"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6865182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Benty</w:t>
            </w:r>
          </w:p>
        </w:tc>
        <w:tc>
          <w:tcPr>
            <w:tcW w:w="4049" w:type="dxa"/>
            <w:tcBorders>
              <w:top w:val="single" w:sz="4" w:space="0" w:color="auto"/>
              <w:left w:val="single" w:sz="4" w:space="0" w:color="auto"/>
              <w:bottom w:val="single" w:sz="4" w:space="0" w:color="auto"/>
              <w:right w:val="single" w:sz="4" w:space="0" w:color="auto"/>
            </w:tcBorders>
            <w:noWrap/>
            <w:hideMark/>
          </w:tcPr>
          <w:p w14:paraId="095C522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35C9898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Lansana</w:t>
            </w:r>
          </w:p>
        </w:tc>
        <w:tc>
          <w:tcPr>
            <w:tcW w:w="1350" w:type="dxa"/>
            <w:tcBorders>
              <w:top w:val="single" w:sz="4" w:space="0" w:color="auto"/>
              <w:left w:val="single" w:sz="4" w:space="0" w:color="auto"/>
              <w:bottom w:val="single" w:sz="4" w:space="0" w:color="auto"/>
              <w:right w:val="single" w:sz="4" w:space="0" w:color="auto"/>
            </w:tcBorders>
            <w:hideMark/>
          </w:tcPr>
          <w:p w14:paraId="0FADB93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Fofana</w:t>
            </w:r>
          </w:p>
        </w:tc>
        <w:tc>
          <w:tcPr>
            <w:tcW w:w="1586" w:type="dxa"/>
            <w:tcBorders>
              <w:top w:val="single" w:sz="4" w:space="0" w:color="auto"/>
              <w:left w:val="single" w:sz="4" w:space="0" w:color="auto"/>
              <w:bottom w:val="single" w:sz="4" w:space="0" w:color="auto"/>
              <w:right w:val="single" w:sz="4" w:space="0" w:color="auto"/>
            </w:tcBorders>
          </w:tcPr>
          <w:p w14:paraId="16A73D2A"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28E220FE"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0618749D"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+224 669 27 23 30</w:t>
            </w:r>
          </w:p>
        </w:tc>
      </w:tr>
      <w:tr w:rsidR="002D5714" w:rsidRPr="002D5714" w14:paraId="7174AEF7"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38C2B006"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1FE7ABF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Kaback</w:t>
            </w:r>
          </w:p>
        </w:tc>
        <w:tc>
          <w:tcPr>
            <w:tcW w:w="4049" w:type="dxa"/>
            <w:tcBorders>
              <w:top w:val="single" w:sz="4" w:space="0" w:color="auto"/>
              <w:left w:val="single" w:sz="4" w:space="0" w:color="auto"/>
              <w:bottom w:val="single" w:sz="4" w:space="0" w:color="auto"/>
              <w:right w:val="single" w:sz="4" w:space="0" w:color="auto"/>
            </w:tcBorders>
            <w:noWrap/>
            <w:hideMark/>
          </w:tcPr>
          <w:p w14:paraId="15BD487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19921BB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 François</w:t>
            </w:r>
          </w:p>
        </w:tc>
        <w:tc>
          <w:tcPr>
            <w:tcW w:w="1350" w:type="dxa"/>
            <w:tcBorders>
              <w:top w:val="single" w:sz="4" w:space="0" w:color="auto"/>
              <w:left w:val="single" w:sz="4" w:space="0" w:color="auto"/>
              <w:bottom w:val="single" w:sz="4" w:space="0" w:color="auto"/>
              <w:right w:val="single" w:sz="4" w:space="0" w:color="auto"/>
            </w:tcBorders>
            <w:hideMark/>
          </w:tcPr>
          <w:p w14:paraId="153DA8C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Kamano</w:t>
            </w:r>
          </w:p>
        </w:tc>
        <w:tc>
          <w:tcPr>
            <w:tcW w:w="1586" w:type="dxa"/>
            <w:tcBorders>
              <w:top w:val="single" w:sz="4" w:space="0" w:color="auto"/>
              <w:left w:val="single" w:sz="4" w:space="0" w:color="auto"/>
              <w:bottom w:val="single" w:sz="4" w:space="0" w:color="auto"/>
              <w:right w:val="single" w:sz="4" w:space="0" w:color="auto"/>
            </w:tcBorders>
          </w:tcPr>
          <w:p w14:paraId="797F97DA"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2EF178B0"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00AFC06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+224 628 56 71 59</w:t>
            </w:r>
          </w:p>
        </w:tc>
      </w:tr>
      <w:tr w:rsidR="002D5714" w:rsidRPr="002D5714" w14:paraId="2DDDEA58"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2469367D"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735C28E8"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Moussayah</w:t>
            </w:r>
          </w:p>
        </w:tc>
        <w:tc>
          <w:tcPr>
            <w:tcW w:w="4049" w:type="dxa"/>
            <w:tcBorders>
              <w:top w:val="single" w:sz="4" w:space="0" w:color="auto"/>
              <w:left w:val="single" w:sz="4" w:space="0" w:color="auto"/>
              <w:bottom w:val="single" w:sz="4" w:space="0" w:color="auto"/>
              <w:right w:val="single" w:sz="4" w:space="0" w:color="auto"/>
            </w:tcBorders>
            <w:noWrap/>
            <w:hideMark/>
          </w:tcPr>
          <w:p w14:paraId="319A41C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05D9F53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Abdoulaye</w:t>
            </w:r>
          </w:p>
        </w:tc>
        <w:tc>
          <w:tcPr>
            <w:tcW w:w="1350" w:type="dxa"/>
            <w:tcBorders>
              <w:top w:val="single" w:sz="4" w:space="0" w:color="auto"/>
              <w:left w:val="single" w:sz="4" w:space="0" w:color="auto"/>
              <w:bottom w:val="single" w:sz="4" w:space="0" w:color="auto"/>
              <w:right w:val="single" w:sz="4" w:space="0" w:color="auto"/>
            </w:tcBorders>
            <w:hideMark/>
          </w:tcPr>
          <w:p w14:paraId="15A0FFD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Bangoura</w:t>
            </w:r>
          </w:p>
        </w:tc>
        <w:tc>
          <w:tcPr>
            <w:tcW w:w="1586" w:type="dxa"/>
            <w:tcBorders>
              <w:top w:val="single" w:sz="4" w:space="0" w:color="auto"/>
              <w:left w:val="single" w:sz="4" w:space="0" w:color="auto"/>
              <w:bottom w:val="single" w:sz="4" w:space="0" w:color="auto"/>
              <w:right w:val="single" w:sz="4" w:space="0" w:color="auto"/>
            </w:tcBorders>
          </w:tcPr>
          <w:p w14:paraId="5C84CD06"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6DBA562A"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2088742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+224 622 06 25 96</w:t>
            </w:r>
          </w:p>
        </w:tc>
      </w:tr>
      <w:tr w:rsidR="002D5714" w:rsidRPr="002D5714" w14:paraId="5C5D06CD"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3573FF72"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3E1B8B3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Kakossa</w:t>
            </w:r>
          </w:p>
        </w:tc>
        <w:tc>
          <w:tcPr>
            <w:tcW w:w="4049" w:type="dxa"/>
            <w:tcBorders>
              <w:top w:val="single" w:sz="4" w:space="0" w:color="auto"/>
              <w:left w:val="single" w:sz="4" w:space="0" w:color="auto"/>
              <w:bottom w:val="single" w:sz="4" w:space="0" w:color="auto"/>
              <w:right w:val="single" w:sz="4" w:space="0" w:color="auto"/>
            </w:tcBorders>
            <w:noWrap/>
            <w:hideMark/>
          </w:tcPr>
          <w:p w14:paraId="41B8657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5A187D2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Moriba</w:t>
            </w:r>
          </w:p>
        </w:tc>
        <w:tc>
          <w:tcPr>
            <w:tcW w:w="1350" w:type="dxa"/>
            <w:tcBorders>
              <w:top w:val="single" w:sz="4" w:space="0" w:color="auto"/>
              <w:left w:val="single" w:sz="4" w:space="0" w:color="auto"/>
              <w:bottom w:val="single" w:sz="4" w:space="0" w:color="auto"/>
              <w:right w:val="single" w:sz="4" w:space="0" w:color="auto"/>
            </w:tcBorders>
            <w:hideMark/>
          </w:tcPr>
          <w:p w14:paraId="78876BCE"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Touré</w:t>
            </w:r>
          </w:p>
        </w:tc>
        <w:tc>
          <w:tcPr>
            <w:tcW w:w="1586" w:type="dxa"/>
            <w:tcBorders>
              <w:top w:val="single" w:sz="4" w:space="0" w:color="auto"/>
              <w:left w:val="single" w:sz="4" w:space="0" w:color="auto"/>
              <w:bottom w:val="single" w:sz="4" w:space="0" w:color="auto"/>
              <w:right w:val="single" w:sz="4" w:space="0" w:color="auto"/>
            </w:tcBorders>
          </w:tcPr>
          <w:p w14:paraId="7E3FC813"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6FEB860C"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3982720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+224 662 36 79 81</w:t>
            </w:r>
          </w:p>
        </w:tc>
      </w:tr>
      <w:tr w:rsidR="002D5714" w:rsidRPr="002D5714" w14:paraId="2D1129D5"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77DAD045"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2074D33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Sikhourou</w:t>
            </w:r>
          </w:p>
        </w:tc>
        <w:tc>
          <w:tcPr>
            <w:tcW w:w="4049" w:type="dxa"/>
            <w:tcBorders>
              <w:top w:val="single" w:sz="4" w:space="0" w:color="auto"/>
              <w:left w:val="single" w:sz="4" w:space="0" w:color="auto"/>
              <w:bottom w:val="single" w:sz="4" w:space="0" w:color="auto"/>
              <w:right w:val="single" w:sz="4" w:space="0" w:color="auto"/>
            </w:tcBorders>
            <w:noWrap/>
            <w:hideMark/>
          </w:tcPr>
          <w:p w14:paraId="3CD6B67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1423183A"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Alsény</w:t>
            </w:r>
          </w:p>
        </w:tc>
        <w:tc>
          <w:tcPr>
            <w:tcW w:w="1350" w:type="dxa"/>
            <w:tcBorders>
              <w:top w:val="single" w:sz="4" w:space="0" w:color="auto"/>
              <w:left w:val="single" w:sz="4" w:space="0" w:color="auto"/>
              <w:bottom w:val="single" w:sz="4" w:space="0" w:color="auto"/>
              <w:right w:val="single" w:sz="4" w:space="0" w:color="auto"/>
            </w:tcBorders>
            <w:hideMark/>
          </w:tcPr>
          <w:p w14:paraId="21651B8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Barry</w:t>
            </w:r>
          </w:p>
        </w:tc>
        <w:tc>
          <w:tcPr>
            <w:tcW w:w="1586" w:type="dxa"/>
            <w:tcBorders>
              <w:top w:val="single" w:sz="4" w:space="0" w:color="auto"/>
              <w:left w:val="single" w:sz="4" w:space="0" w:color="auto"/>
              <w:bottom w:val="single" w:sz="4" w:space="0" w:color="auto"/>
              <w:right w:val="single" w:sz="4" w:space="0" w:color="auto"/>
            </w:tcBorders>
          </w:tcPr>
          <w:p w14:paraId="3EDCBA58"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34E58854"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64ABC77E"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+224 628 00 22 00</w:t>
            </w:r>
          </w:p>
        </w:tc>
      </w:tr>
      <w:tr w:rsidR="002D5714" w:rsidRPr="002D5714" w14:paraId="54642EC7"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067E89ED"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Guinée</w:t>
            </w:r>
          </w:p>
        </w:tc>
        <w:tc>
          <w:tcPr>
            <w:tcW w:w="941" w:type="dxa"/>
            <w:tcBorders>
              <w:top w:val="single" w:sz="4" w:space="0" w:color="auto"/>
              <w:left w:val="single" w:sz="4" w:space="0" w:color="auto"/>
              <w:bottom w:val="single" w:sz="4" w:space="0" w:color="auto"/>
              <w:right w:val="single" w:sz="4" w:space="0" w:color="auto"/>
            </w:tcBorders>
            <w:hideMark/>
          </w:tcPr>
          <w:p w14:paraId="3F7E0FC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Farmoréah</w:t>
            </w:r>
          </w:p>
        </w:tc>
        <w:tc>
          <w:tcPr>
            <w:tcW w:w="4049" w:type="dxa"/>
            <w:tcBorders>
              <w:top w:val="single" w:sz="4" w:space="0" w:color="auto"/>
              <w:left w:val="single" w:sz="4" w:space="0" w:color="auto"/>
              <w:bottom w:val="single" w:sz="4" w:space="0" w:color="auto"/>
              <w:right w:val="single" w:sz="4" w:space="0" w:color="auto"/>
            </w:tcBorders>
            <w:noWrap/>
            <w:hideMark/>
          </w:tcPr>
          <w:p w14:paraId="622F43F7"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Superviseur de proximité</w:t>
            </w:r>
          </w:p>
        </w:tc>
        <w:tc>
          <w:tcPr>
            <w:tcW w:w="2160" w:type="dxa"/>
            <w:tcBorders>
              <w:top w:val="single" w:sz="4" w:space="0" w:color="auto"/>
              <w:left w:val="single" w:sz="4" w:space="0" w:color="auto"/>
              <w:bottom w:val="single" w:sz="4" w:space="0" w:color="auto"/>
              <w:right w:val="single" w:sz="4" w:space="0" w:color="auto"/>
            </w:tcBorders>
            <w:noWrap/>
            <w:hideMark/>
          </w:tcPr>
          <w:p w14:paraId="4A4F474D"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Dr Homo Patrice</w:t>
            </w:r>
          </w:p>
        </w:tc>
        <w:tc>
          <w:tcPr>
            <w:tcW w:w="1350" w:type="dxa"/>
            <w:tcBorders>
              <w:top w:val="single" w:sz="4" w:space="0" w:color="auto"/>
              <w:left w:val="single" w:sz="4" w:space="0" w:color="auto"/>
              <w:bottom w:val="single" w:sz="4" w:space="0" w:color="auto"/>
              <w:right w:val="single" w:sz="4" w:space="0" w:color="auto"/>
            </w:tcBorders>
            <w:hideMark/>
          </w:tcPr>
          <w:p w14:paraId="5E6F366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Goumou</w:t>
            </w:r>
          </w:p>
        </w:tc>
        <w:tc>
          <w:tcPr>
            <w:tcW w:w="1586" w:type="dxa"/>
            <w:tcBorders>
              <w:top w:val="single" w:sz="4" w:space="0" w:color="auto"/>
              <w:left w:val="single" w:sz="4" w:space="0" w:color="auto"/>
              <w:bottom w:val="single" w:sz="4" w:space="0" w:color="auto"/>
              <w:right w:val="single" w:sz="4" w:space="0" w:color="auto"/>
            </w:tcBorders>
          </w:tcPr>
          <w:p w14:paraId="6B86062C"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0FA7A526"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2D774A25"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PMingLiU" w:hAnsi="Calibri" w:cs="Arial"/>
                <w:sz w:val="22"/>
                <w:szCs w:val="22"/>
                <w:lang w:val="en-GB" w:eastAsia="en-GB"/>
              </w:rPr>
              <w:t>+224 655 51 02 01</w:t>
            </w:r>
          </w:p>
        </w:tc>
      </w:tr>
      <w:tr w:rsidR="002D5714" w:rsidRPr="002D5714" w14:paraId="2DBDB360" w14:textId="77777777" w:rsidTr="00900CD8">
        <w:trPr>
          <w:trHeight w:val="620"/>
          <w:jc w:val="center"/>
        </w:trPr>
        <w:tc>
          <w:tcPr>
            <w:tcW w:w="878" w:type="dxa"/>
            <w:tcBorders>
              <w:top w:val="single" w:sz="4" w:space="0" w:color="auto"/>
              <w:left w:val="single" w:sz="4" w:space="0" w:color="auto"/>
              <w:bottom w:val="single" w:sz="4" w:space="0" w:color="auto"/>
              <w:right w:val="single" w:sz="4" w:space="0" w:color="auto"/>
            </w:tcBorders>
            <w:hideMark/>
          </w:tcPr>
          <w:p w14:paraId="2263711F"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5BF76A28"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3DB06DB4" w14:textId="77777777" w:rsidR="002D5714" w:rsidRPr="002D5714" w:rsidRDefault="002D5714" w:rsidP="002D5714">
            <w:pPr>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Responsable de la surveillance pour le District</w:t>
            </w:r>
          </w:p>
        </w:tc>
        <w:tc>
          <w:tcPr>
            <w:tcW w:w="2160" w:type="dxa"/>
            <w:tcBorders>
              <w:top w:val="single" w:sz="4" w:space="0" w:color="auto"/>
              <w:left w:val="single" w:sz="4" w:space="0" w:color="auto"/>
              <w:bottom w:val="single" w:sz="4" w:space="0" w:color="auto"/>
              <w:right w:val="single" w:sz="4" w:space="0" w:color="auto"/>
            </w:tcBorders>
            <w:noWrap/>
            <w:hideMark/>
          </w:tcPr>
          <w:p w14:paraId="346D5ED2"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KANU</w:t>
            </w:r>
          </w:p>
        </w:tc>
        <w:tc>
          <w:tcPr>
            <w:tcW w:w="1350" w:type="dxa"/>
            <w:tcBorders>
              <w:top w:val="single" w:sz="4" w:space="0" w:color="auto"/>
              <w:left w:val="single" w:sz="4" w:space="0" w:color="auto"/>
              <w:bottom w:val="single" w:sz="4" w:space="0" w:color="auto"/>
              <w:right w:val="single" w:sz="4" w:space="0" w:color="auto"/>
            </w:tcBorders>
            <w:hideMark/>
          </w:tcPr>
          <w:p w14:paraId="62DB5C4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color w:val="000000"/>
                <w:lang w:val="fr-FR" w:eastAsia="en-GB"/>
              </w:rPr>
              <w:t>Hassan</w:t>
            </w:r>
          </w:p>
        </w:tc>
        <w:tc>
          <w:tcPr>
            <w:tcW w:w="1586" w:type="dxa"/>
            <w:tcBorders>
              <w:top w:val="single" w:sz="4" w:space="0" w:color="auto"/>
              <w:left w:val="single" w:sz="4" w:space="0" w:color="auto"/>
              <w:bottom w:val="single" w:sz="4" w:space="0" w:color="auto"/>
              <w:right w:val="single" w:sz="4" w:space="0" w:color="auto"/>
            </w:tcBorders>
          </w:tcPr>
          <w:p w14:paraId="146F0BC6"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03235C76"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7E9ED0D0"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076-831-946</w:t>
            </w:r>
          </w:p>
        </w:tc>
      </w:tr>
      <w:tr w:rsidR="002D5714" w:rsidRPr="002D5714" w14:paraId="2DCBC86D"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6197455C"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034CD250"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352CEC27"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Responsable de la surveillance pour le District</w:t>
            </w:r>
          </w:p>
        </w:tc>
        <w:tc>
          <w:tcPr>
            <w:tcW w:w="2160" w:type="dxa"/>
            <w:tcBorders>
              <w:top w:val="single" w:sz="4" w:space="0" w:color="auto"/>
              <w:left w:val="single" w:sz="4" w:space="0" w:color="auto"/>
              <w:bottom w:val="single" w:sz="4" w:space="0" w:color="auto"/>
              <w:right w:val="single" w:sz="4" w:space="0" w:color="auto"/>
            </w:tcBorders>
            <w:noWrap/>
            <w:hideMark/>
          </w:tcPr>
          <w:p w14:paraId="176C6AA4"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SANDI</w:t>
            </w:r>
          </w:p>
        </w:tc>
        <w:tc>
          <w:tcPr>
            <w:tcW w:w="1350" w:type="dxa"/>
            <w:tcBorders>
              <w:top w:val="single" w:sz="4" w:space="0" w:color="auto"/>
              <w:left w:val="single" w:sz="4" w:space="0" w:color="auto"/>
              <w:bottom w:val="single" w:sz="4" w:space="0" w:color="auto"/>
              <w:right w:val="single" w:sz="4" w:space="0" w:color="auto"/>
            </w:tcBorders>
            <w:hideMark/>
          </w:tcPr>
          <w:p w14:paraId="3543D139"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color w:val="000000"/>
                <w:lang w:val="fr-FR" w:eastAsia="en-GB"/>
              </w:rPr>
              <w:t>Christopher</w:t>
            </w:r>
          </w:p>
        </w:tc>
        <w:tc>
          <w:tcPr>
            <w:tcW w:w="1586" w:type="dxa"/>
            <w:tcBorders>
              <w:top w:val="single" w:sz="4" w:space="0" w:color="auto"/>
              <w:left w:val="single" w:sz="4" w:space="0" w:color="auto"/>
              <w:bottom w:val="single" w:sz="4" w:space="0" w:color="auto"/>
              <w:right w:val="single" w:sz="4" w:space="0" w:color="auto"/>
            </w:tcBorders>
          </w:tcPr>
          <w:p w14:paraId="05BE41AA"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6EE9D4F2"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1B9B3EFA"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030-804-137</w:t>
            </w:r>
          </w:p>
        </w:tc>
      </w:tr>
      <w:tr w:rsidR="002D5714" w:rsidRPr="002D5714" w14:paraId="49107B06"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7DD4BBA3"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652F4556"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6183EE73"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Responsable de la surveillance pour le District</w:t>
            </w:r>
          </w:p>
        </w:tc>
        <w:tc>
          <w:tcPr>
            <w:tcW w:w="2160" w:type="dxa"/>
            <w:tcBorders>
              <w:top w:val="single" w:sz="4" w:space="0" w:color="auto"/>
              <w:left w:val="single" w:sz="4" w:space="0" w:color="auto"/>
              <w:bottom w:val="single" w:sz="4" w:space="0" w:color="auto"/>
              <w:right w:val="single" w:sz="4" w:space="0" w:color="auto"/>
            </w:tcBorders>
            <w:noWrap/>
            <w:hideMark/>
          </w:tcPr>
          <w:p w14:paraId="1D5F956F"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SAMBA</w:t>
            </w:r>
          </w:p>
        </w:tc>
        <w:tc>
          <w:tcPr>
            <w:tcW w:w="1350" w:type="dxa"/>
            <w:tcBorders>
              <w:top w:val="single" w:sz="4" w:space="0" w:color="auto"/>
              <w:left w:val="single" w:sz="4" w:space="0" w:color="auto"/>
              <w:bottom w:val="single" w:sz="4" w:space="0" w:color="auto"/>
              <w:right w:val="single" w:sz="4" w:space="0" w:color="auto"/>
            </w:tcBorders>
            <w:hideMark/>
          </w:tcPr>
          <w:p w14:paraId="76F48D2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color w:val="000000"/>
                <w:lang w:val="fr-FR" w:eastAsia="en-GB"/>
              </w:rPr>
              <w:t>Sheku</w:t>
            </w:r>
          </w:p>
        </w:tc>
        <w:tc>
          <w:tcPr>
            <w:tcW w:w="1586" w:type="dxa"/>
            <w:tcBorders>
              <w:top w:val="single" w:sz="4" w:space="0" w:color="auto"/>
              <w:left w:val="single" w:sz="4" w:space="0" w:color="auto"/>
              <w:bottom w:val="single" w:sz="4" w:space="0" w:color="auto"/>
              <w:right w:val="single" w:sz="4" w:space="0" w:color="auto"/>
            </w:tcBorders>
          </w:tcPr>
          <w:p w14:paraId="1ED7019C"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39657040"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03901208"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077-803-034</w:t>
            </w:r>
          </w:p>
        </w:tc>
      </w:tr>
      <w:tr w:rsidR="002D5714" w:rsidRPr="002D5714" w14:paraId="73389C3F"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184C5EE9"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44E1E04B"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28667A4F"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Responsable de la surveillance pour le District</w:t>
            </w:r>
          </w:p>
        </w:tc>
        <w:tc>
          <w:tcPr>
            <w:tcW w:w="2160" w:type="dxa"/>
            <w:tcBorders>
              <w:top w:val="single" w:sz="4" w:space="0" w:color="auto"/>
              <w:left w:val="single" w:sz="4" w:space="0" w:color="auto"/>
              <w:bottom w:val="single" w:sz="4" w:space="0" w:color="auto"/>
              <w:right w:val="single" w:sz="4" w:space="0" w:color="auto"/>
            </w:tcBorders>
            <w:noWrap/>
            <w:hideMark/>
          </w:tcPr>
          <w:p w14:paraId="7E6EF319"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KOLOKOH</w:t>
            </w:r>
          </w:p>
        </w:tc>
        <w:tc>
          <w:tcPr>
            <w:tcW w:w="1350" w:type="dxa"/>
            <w:tcBorders>
              <w:top w:val="single" w:sz="4" w:space="0" w:color="auto"/>
              <w:left w:val="single" w:sz="4" w:space="0" w:color="auto"/>
              <w:bottom w:val="single" w:sz="4" w:space="0" w:color="auto"/>
              <w:right w:val="single" w:sz="4" w:space="0" w:color="auto"/>
            </w:tcBorders>
            <w:hideMark/>
          </w:tcPr>
          <w:p w14:paraId="01711473"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color w:val="000000"/>
                <w:lang w:val="fr-FR" w:eastAsia="en-GB"/>
              </w:rPr>
              <w:t>Joseph</w:t>
            </w:r>
          </w:p>
        </w:tc>
        <w:tc>
          <w:tcPr>
            <w:tcW w:w="1586" w:type="dxa"/>
            <w:tcBorders>
              <w:top w:val="single" w:sz="4" w:space="0" w:color="auto"/>
              <w:left w:val="single" w:sz="4" w:space="0" w:color="auto"/>
              <w:bottom w:val="single" w:sz="4" w:space="0" w:color="auto"/>
              <w:right w:val="single" w:sz="4" w:space="0" w:color="auto"/>
            </w:tcBorders>
          </w:tcPr>
          <w:p w14:paraId="6A2A37BF"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70A98E86"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33CDA4D0"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076-946-414</w:t>
            </w:r>
          </w:p>
        </w:tc>
      </w:tr>
      <w:tr w:rsidR="002D5714" w:rsidRPr="002D5714" w14:paraId="7223BE08" w14:textId="77777777" w:rsidTr="00900CD8">
        <w:trPr>
          <w:trHeight w:val="638"/>
          <w:jc w:val="center"/>
        </w:trPr>
        <w:tc>
          <w:tcPr>
            <w:tcW w:w="878" w:type="dxa"/>
            <w:tcBorders>
              <w:top w:val="single" w:sz="4" w:space="0" w:color="auto"/>
              <w:left w:val="single" w:sz="4" w:space="0" w:color="auto"/>
              <w:bottom w:val="single" w:sz="4" w:space="0" w:color="auto"/>
              <w:right w:val="single" w:sz="4" w:space="0" w:color="auto"/>
            </w:tcBorders>
            <w:hideMark/>
          </w:tcPr>
          <w:p w14:paraId="5DCF112D"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6BD2C196"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0F599A52" w14:textId="77777777" w:rsidR="002D5714" w:rsidRPr="002D5714" w:rsidRDefault="002D5714" w:rsidP="002D5714">
            <w:pPr>
              <w:spacing w:after="200" w:line="276" w:lineRule="auto"/>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Responsable de la surveillance pour le District</w:t>
            </w:r>
          </w:p>
        </w:tc>
        <w:tc>
          <w:tcPr>
            <w:tcW w:w="2160" w:type="dxa"/>
            <w:tcBorders>
              <w:top w:val="single" w:sz="4" w:space="0" w:color="auto"/>
              <w:left w:val="single" w:sz="4" w:space="0" w:color="auto"/>
              <w:bottom w:val="single" w:sz="4" w:space="0" w:color="auto"/>
              <w:right w:val="single" w:sz="4" w:space="0" w:color="auto"/>
            </w:tcBorders>
            <w:noWrap/>
            <w:hideMark/>
          </w:tcPr>
          <w:p w14:paraId="7B81F4CE"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BALLAH</w:t>
            </w:r>
          </w:p>
        </w:tc>
        <w:tc>
          <w:tcPr>
            <w:tcW w:w="1350" w:type="dxa"/>
            <w:tcBorders>
              <w:top w:val="single" w:sz="4" w:space="0" w:color="auto"/>
              <w:left w:val="single" w:sz="4" w:space="0" w:color="auto"/>
              <w:bottom w:val="single" w:sz="4" w:space="0" w:color="auto"/>
              <w:right w:val="single" w:sz="4" w:space="0" w:color="auto"/>
            </w:tcBorders>
            <w:hideMark/>
          </w:tcPr>
          <w:p w14:paraId="43998BCE"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color w:val="000000"/>
                <w:lang w:val="fr-FR" w:eastAsia="en-GB"/>
              </w:rPr>
              <w:t>Marrah</w:t>
            </w:r>
          </w:p>
        </w:tc>
        <w:tc>
          <w:tcPr>
            <w:tcW w:w="1586" w:type="dxa"/>
            <w:tcBorders>
              <w:top w:val="single" w:sz="4" w:space="0" w:color="auto"/>
              <w:left w:val="single" w:sz="4" w:space="0" w:color="auto"/>
              <w:bottom w:val="single" w:sz="4" w:space="0" w:color="auto"/>
              <w:right w:val="single" w:sz="4" w:space="0" w:color="auto"/>
            </w:tcBorders>
          </w:tcPr>
          <w:p w14:paraId="7495392C" w14:textId="77777777" w:rsidR="002D5714" w:rsidRPr="002D5714" w:rsidRDefault="002D5714" w:rsidP="002D5714">
            <w:pPr>
              <w:rPr>
                <w:rFonts w:ascii="Calibri" w:eastAsia="PMingLiU" w:hAnsi="Calibri" w:cs="Arial"/>
                <w:sz w:val="22"/>
                <w:szCs w:val="22"/>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1BBF36EF" w14:textId="77777777" w:rsidR="002D5714" w:rsidRPr="002D5714" w:rsidRDefault="002D5714" w:rsidP="002D5714">
            <w:pPr>
              <w:rPr>
                <w:rFonts w:ascii="Calibri" w:eastAsia="PMingLiU" w:hAnsi="Calibri" w:cs="Arial"/>
                <w:color w:val="000000"/>
                <w:sz w:val="22"/>
                <w:szCs w:val="22"/>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11AB4286"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077-920-980</w:t>
            </w:r>
          </w:p>
        </w:tc>
      </w:tr>
      <w:tr w:rsidR="002D5714" w:rsidRPr="002D5714" w14:paraId="196AA0FC"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603E3150"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4CF6C65E"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3224EB1A" w14:textId="77777777" w:rsidR="002D5714" w:rsidRPr="002D5714" w:rsidRDefault="002D5714" w:rsidP="002D5714">
            <w:pPr>
              <w:rPr>
                <w:rFonts w:ascii="Calibri" w:eastAsia="PMingLiU" w:hAnsi="Calibri" w:cs="Arial"/>
                <w:color w:val="000000"/>
                <w:lang w:val="fr-CA" w:eastAsia="en-GB"/>
              </w:rPr>
            </w:pPr>
            <w:r w:rsidRPr="002D5714">
              <w:rPr>
                <w:rFonts w:ascii="Calibri" w:eastAsia="Times New Roman" w:hAnsi="Calibri" w:cs="Calibri"/>
                <w:color w:val="000000"/>
                <w:lang w:val="fr-FR" w:eastAsia="en-GB"/>
              </w:rPr>
              <w:t>Coordinateur sur le terrain de l’OMS</w:t>
            </w:r>
          </w:p>
        </w:tc>
        <w:tc>
          <w:tcPr>
            <w:tcW w:w="2160" w:type="dxa"/>
            <w:tcBorders>
              <w:top w:val="single" w:sz="4" w:space="0" w:color="auto"/>
              <w:left w:val="single" w:sz="4" w:space="0" w:color="auto"/>
              <w:bottom w:val="single" w:sz="4" w:space="0" w:color="auto"/>
              <w:right w:val="single" w:sz="4" w:space="0" w:color="auto"/>
            </w:tcBorders>
            <w:noWrap/>
            <w:hideMark/>
          </w:tcPr>
          <w:p w14:paraId="4D5C0DF3"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GHISELLI</w:t>
            </w:r>
          </w:p>
        </w:tc>
        <w:tc>
          <w:tcPr>
            <w:tcW w:w="1350" w:type="dxa"/>
            <w:tcBorders>
              <w:top w:val="single" w:sz="4" w:space="0" w:color="auto"/>
              <w:left w:val="single" w:sz="4" w:space="0" w:color="auto"/>
              <w:bottom w:val="single" w:sz="4" w:space="0" w:color="auto"/>
              <w:right w:val="single" w:sz="4" w:space="0" w:color="auto"/>
            </w:tcBorders>
            <w:hideMark/>
          </w:tcPr>
          <w:p w14:paraId="5F900462"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Margherita</w:t>
            </w:r>
          </w:p>
        </w:tc>
        <w:tc>
          <w:tcPr>
            <w:tcW w:w="1586" w:type="dxa"/>
            <w:tcBorders>
              <w:top w:val="single" w:sz="4" w:space="0" w:color="auto"/>
              <w:left w:val="single" w:sz="4" w:space="0" w:color="auto"/>
              <w:bottom w:val="single" w:sz="4" w:space="0" w:color="auto"/>
              <w:right w:val="single" w:sz="4" w:space="0" w:color="auto"/>
            </w:tcBorders>
          </w:tcPr>
          <w:p w14:paraId="33050D07"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63D18ED2"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ghisellim@who.int</w:t>
            </w:r>
          </w:p>
        </w:tc>
        <w:tc>
          <w:tcPr>
            <w:tcW w:w="1540" w:type="dxa"/>
            <w:tcBorders>
              <w:top w:val="single" w:sz="4" w:space="0" w:color="auto"/>
              <w:left w:val="single" w:sz="4" w:space="0" w:color="auto"/>
              <w:bottom w:val="single" w:sz="4" w:space="0" w:color="auto"/>
              <w:right w:val="single" w:sz="4" w:space="0" w:color="auto"/>
            </w:tcBorders>
            <w:noWrap/>
            <w:hideMark/>
          </w:tcPr>
          <w:p w14:paraId="796100DA"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076-533-521</w:t>
            </w:r>
          </w:p>
        </w:tc>
      </w:tr>
      <w:tr w:rsidR="002D5714" w:rsidRPr="002D5714" w14:paraId="14828F67"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2AAEABB4"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09FDEF29"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6DCCB868"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Épidémiologiste OMS</w:t>
            </w:r>
          </w:p>
        </w:tc>
        <w:tc>
          <w:tcPr>
            <w:tcW w:w="2160" w:type="dxa"/>
            <w:tcBorders>
              <w:top w:val="single" w:sz="4" w:space="0" w:color="auto"/>
              <w:left w:val="single" w:sz="4" w:space="0" w:color="auto"/>
              <w:bottom w:val="single" w:sz="4" w:space="0" w:color="auto"/>
              <w:right w:val="single" w:sz="4" w:space="0" w:color="auto"/>
            </w:tcBorders>
            <w:noWrap/>
            <w:hideMark/>
          </w:tcPr>
          <w:p w14:paraId="61CB56AE"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COSBY</w:t>
            </w:r>
          </w:p>
        </w:tc>
        <w:tc>
          <w:tcPr>
            <w:tcW w:w="1350" w:type="dxa"/>
            <w:tcBorders>
              <w:top w:val="single" w:sz="4" w:space="0" w:color="auto"/>
              <w:left w:val="single" w:sz="4" w:space="0" w:color="auto"/>
              <w:bottom w:val="single" w:sz="4" w:space="0" w:color="auto"/>
              <w:right w:val="single" w:sz="4" w:space="0" w:color="auto"/>
            </w:tcBorders>
            <w:hideMark/>
          </w:tcPr>
          <w:p w14:paraId="50C93670"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Michael</w:t>
            </w:r>
          </w:p>
        </w:tc>
        <w:tc>
          <w:tcPr>
            <w:tcW w:w="1586" w:type="dxa"/>
            <w:tcBorders>
              <w:top w:val="single" w:sz="4" w:space="0" w:color="auto"/>
              <w:left w:val="single" w:sz="4" w:space="0" w:color="auto"/>
              <w:bottom w:val="single" w:sz="4" w:space="0" w:color="auto"/>
              <w:right w:val="single" w:sz="4" w:space="0" w:color="auto"/>
            </w:tcBorders>
          </w:tcPr>
          <w:p w14:paraId="523A4FBC"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2211D277"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 cosbym@who.int</w:t>
            </w:r>
          </w:p>
        </w:tc>
        <w:tc>
          <w:tcPr>
            <w:tcW w:w="1540" w:type="dxa"/>
            <w:tcBorders>
              <w:top w:val="single" w:sz="4" w:space="0" w:color="auto"/>
              <w:left w:val="single" w:sz="4" w:space="0" w:color="auto"/>
              <w:bottom w:val="single" w:sz="4" w:space="0" w:color="auto"/>
              <w:right w:val="single" w:sz="4" w:space="0" w:color="auto"/>
            </w:tcBorders>
            <w:noWrap/>
            <w:hideMark/>
          </w:tcPr>
          <w:p w14:paraId="20C3D9AD"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079-411-147</w:t>
            </w:r>
          </w:p>
        </w:tc>
      </w:tr>
      <w:tr w:rsidR="002D5714" w:rsidRPr="002D5714" w14:paraId="6876EC00"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6FC415D1"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5085E3FE" w14:textId="77777777" w:rsidR="002D5714" w:rsidRPr="002D5714" w:rsidRDefault="002D5714" w:rsidP="002D5714">
            <w:pPr>
              <w:spacing w:after="200" w:line="276" w:lineRule="auto"/>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3B8864DC"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Épidémiologiste OMS</w:t>
            </w:r>
          </w:p>
        </w:tc>
        <w:tc>
          <w:tcPr>
            <w:tcW w:w="2160" w:type="dxa"/>
            <w:tcBorders>
              <w:top w:val="single" w:sz="4" w:space="0" w:color="auto"/>
              <w:left w:val="single" w:sz="4" w:space="0" w:color="auto"/>
              <w:bottom w:val="single" w:sz="4" w:space="0" w:color="auto"/>
              <w:right w:val="single" w:sz="4" w:space="0" w:color="auto"/>
            </w:tcBorders>
            <w:noWrap/>
            <w:hideMark/>
          </w:tcPr>
          <w:p w14:paraId="7A9220BD"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OTIM</w:t>
            </w:r>
          </w:p>
        </w:tc>
        <w:tc>
          <w:tcPr>
            <w:tcW w:w="1350" w:type="dxa"/>
            <w:tcBorders>
              <w:top w:val="single" w:sz="4" w:space="0" w:color="auto"/>
              <w:left w:val="single" w:sz="4" w:space="0" w:color="auto"/>
              <w:bottom w:val="single" w:sz="4" w:space="0" w:color="auto"/>
              <w:right w:val="single" w:sz="4" w:space="0" w:color="auto"/>
            </w:tcBorders>
            <w:hideMark/>
          </w:tcPr>
          <w:p w14:paraId="52FEE42D"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Patrick</w:t>
            </w:r>
          </w:p>
        </w:tc>
        <w:tc>
          <w:tcPr>
            <w:tcW w:w="1586" w:type="dxa"/>
            <w:tcBorders>
              <w:top w:val="single" w:sz="4" w:space="0" w:color="auto"/>
              <w:left w:val="single" w:sz="4" w:space="0" w:color="auto"/>
              <w:bottom w:val="single" w:sz="4" w:space="0" w:color="auto"/>
              <w:right w:val="single" w:sz="4" w:space="0" w:color="auto"/>
            </w:tcBorders>
          </w:tcPr>
          <w:p w14:paraId="17847362"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4F4B32B2"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 drpatrickotim@gmail.com</w:t>
            </w:r>
          </w:p>
        </w:tc>
        <w:tc>
          <w:tcPr>
            <w:tcW w:w="1540" w:type="dxa"/>
            <w:tcBorders>
              <w:top w:val="single" w:sz="4" w:space="0" w:color="auto"/>
              <w:left w:val="single" w:sz="4" w:space="0" w:color="auto"/>
              <w:bottom w:val="single" w:sz="4" w:space="0" w:color="auto"/>
              <w:right w:val="single" w:sz="4" w:space="0" w:color="auto"/>
            </w:tcBorders>
            <w:noWrap/>
            <w:hideMark/>
          </w:tcPr>
          <w:p w14:paraId="12E4A411"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076-533-437</w:t>
            </w:r>
          </w:p>
        </w:tc>
      </w:tr>
      <w:tr w:rsidR="002D5714" w:rsidRPr="002D5714" w14:paraId="4BB8E419"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3548B54F"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41607476" w14:textId="77777777" w:rsidR="002D5714" w:rsidRPr="002D5714" w:rsidRDefault="002D5714" w:rsidP="002D5714">
            <w:pPr>
              <w:rPr>
                <w:rFonts w:ascii="Calibri" w:eastAsia="PMingLiU" w:hAnsi="Calibri" w:cs="Arial"/>
                <w:sz w:val="22"/>
                <w:szCs w:val="22"/>
                <w:lang w:val="en-GB" w:eastAsia="en-GB"/>
              </w:rPr>
            </w:pPr>
            <w:r w:rsidRPr="002D5714">
              <w:rPr>
                <w:rFonts w:ascii="Calibri" w:eastAsia="Times New Roman" w:hAnsi="Calibri" w:cs="Calibri"/>
                <w:sz w:val="22"/>
                <w:szCs w:val="22"/>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2C60A7C3"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Épidémiologiste OMS</w:t>
            </w:r>
          </w:p>
        </w:tc>
        <w:tc>
          <w:tcPr>
            <w:tcW w:w="2160" w:type="dxa"/>
            <w:tcBorders>
              <w:top w:val="single" w:sz="4" w:space="0" w:color="auto"/>
              <w:left w:val="single" w:sz="4" w:space="0" w:color="auto"/>
              <w:bottom w:val="single" w:sz="4" w:space="0" w:color="auto"/>
              <w:right w:val="single" w:sz="4" w:space="0" w:color="auto"/>
            </w:tcBorders>
            <w:noWrap/>
            <w:hideMark/>
          </w:tcPr>
          <w:p w14:paraId="1310B5F7"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SHARMA</w:t>
            </w:r>
          </w:p>
        </w:tc>
        <w:tc>
          <w:tcPr>
            <w:tcW w:w="1350" w:type="dxa"/>
            <w:tcBorders>
              <w:top w:val="single" w:sz="4" w:space="0" w:color="auto"/>
              <w:left w:val="single" w:sz="4" w:space="0" w:color="auto"/>
              <w:bottom w:val="single" w:sz="4" w:space="0" w:color="auto"/>
              <w:right w:val="single" w:sz="4" w:space="0" w:color="auto"/>
            </w:tcBorders>
            <w:hideMark/>
          </w:tcPr>
          <w:p w14:paraId="03217B35"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Vikas</w:t>
            </w:r>
          </w:p>
        </w:tc>
        <w:tc>
          <w:tcPr>
            <w:tcW w:w="1586" w:type="dxa"/>
            <w:tcBorders>
              <w:top w:val="single" w:sz="4" w:space="0" w:color="auto"/>
              <w:left w:val="single" w:sz="4" w:space="0" w:color="auto"/>
              <w:bottom w:val="single" w:sz="4" w:space="0" w:color="auto"/>
              <w:right w:val="single" w:sz="4" w:space="0" w:color="auto"/>
            </w:tcBorders>
          </w:tcPr>
          <w:p w14:paraId="368055C1"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74669B1D"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 vikas76_in@yahoo.com</w:t>
            </w:r>
          </w:p>
        </w:tc>
        <w:tc>
          <w:tcPr>
            <w:tcW w:w="1540" w:type="dxa"/>
            <w:tcBorders>
              <w:top w:val="single" w:sz="4" w:space="0" w:color="auto"/>
              <w:left w:val="single" w:sz="4" w:space="0" w:color="auto"/>
              <w:bottom w:val="single" w:sz="4" w:space="0" w:color="auto"/>
              <w:right w:val="single" w:sz="4" w:space="0" w:color="auto"/>
            </w:tcBorders>
            <w:noWrap/>
            <w:hideMark/>
          </w:tcPr>
          <w:p w14:paraId="1F599BC0" w14:textId="77777777" w:rsidR="002D5714" w:rsidRPr="002D5714" w:rsidRDefault="002D5714" w:rsidP="002D5714">
            <w:pPr>
              <w:rPr>
                <w:rFonts w:ascii="Calibri" w:eastAsia="PMingLiU" w:hAnsi="Calibri" w:cs="Arial"/>
                <w:color w:val="000000"/>
                <w:lang w:val="en-GB" w:eastAsia="en-GB"/>
              </w:rPr>
            </w:pPr>
            <w:r w:rsidRPr="002D5714">
              <w:rPr>
                <w:rFonts w:ascii="Calibri" w:eastAsia="PMingLiU" w:hAnsi="Calibri" w:cs="Arial"/>
                <w:color w:val="000000"/>
                <w:lang w:val="en-GB" w:eastAsia="en-GB"/>
              </w:rPr>
              <w:t>078-070-873</w:t>
            </w:r>
          </w:p>
        </w:tc>
      </w:tr>
      <w:tr w:rsidR="002D5714" w:rsidRPr="002D5714" w14:paraId="48D79800"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0F137AA3"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795473BD"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37E9002A" w14:textId="77777777" w:rsidR="002D5714" w:rsidRPr="002D5714" w:rsidRDefault="002D5714" w:rsidP="002D5714">
            <w:pPr>
              <w:rPr>
                <w:rFonts w:ascii="Calibri" w:eastAsia="PMingLiU" w:hAnsi="Calibri" w:cs="Arial"/>
                <w:color w:val="000000"/>
                <w:lang w:val="fr-CA" w:eastAsia="en-GB"/>
              </w:rPr>
            </w:pPr>
            <w:r w:rsidRPr="002D5714">
              <w:rPr>
                <w:rFonts w:ascii="Calibri" w:eastAsia="Times New Roman" w:hAnsi="Calibri" w:cs="Calibri"/>
                <w:color w:val="000000"/>
                <w:lang w:val="fr-FR" w:eastAsia="en-GB"/>
              </w:rPr>
              <w:t>Chef d’État-major (COS) – Forces armées de la République de Sierra Leone (RSLAF)</w:t>
            </w:r>
          </w:p>
        </w:tc>
        <w:tc>
          <w:tcPr>
            <w:tcW w:w="2160" w:type="dxa"/>
            <w:tcBorders>
              <w:top w:val="single" w:sz="4" w:space="0" w:color="auto"/>
              <w:left w:val="single" w:sz="4" w:space="0" w:color="auto"/>
              <w:bottom w:val="single" w:sz="4" w:space="0" w:color="auto"/>
              <w:right w:val="single" w:sz="4" w:space="0" w:color="auto"/>
            </w:tcBorders>
            <w:noWrap/>
            <w:hideMark/>
          </w:tcPr>
          <w:p w14:paraId="00B81152"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SANNOH</w:t>
            </w:r>
          </w:p>
        </w:tc>
        <w:tc>
          <w:tcPr>
            <w:tcW w:w="1350" w:type="dxa"/>
            <w:tcBorders>
              <w:top w:val="single" w:sz="4" w:space="0" w:color="auto"/>
              <w:left w:val="single" w:sz="4" w:space="0" w:color="auto"/>
              <w:bottom w:val="single" w:sz="4" w:space="0" w:color="auto"/>
              <w:right w:val="single" w:sz="4" w:space="0" w:color="auto"/>
            </w:tcBorders>
            <w:hideMark/>
          </w:tcPr>
          <w:p w14:paraId="307D23E6"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Foday</w:t>
            </w:r>
          </w:p>
        </w:tc>
        <w:tc>
          <w:tcPr>
            <w:tcW w:w="1586" w:type="dxa"/>
            <w:tcBorders>
              <w:top w:val="single" w:sz="4" w:space="0" w:color="auto"/>
              <w:left w:val="single" w:sz="4" w:space="0" w:color="auto"/>
              <w:bottom w:val="single" w:sz="4" w:space="0" w:color="auto"/>
              <w:right w:val="single" w:sz="4" w:space="0" w:color="auto"/>
            </w:tcBorders>
          </w:tcPr>
          <w:p w14:paraId="4BD6EF5E"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0FA9D310" w14:textId="77777777" w:rsidR="002D5714" w:rsidRPr="002D5714" w:rsidRDefault="002D5714" w:rsidP="002D5714">
            <w:pPr>
              <w:rPr>
                <w:rFonts w:ascii="Calibri" w:eastAsia="Arial Unicode MS" w:hAnsi="Calibri" w:cs="Arial"/>
                <w:color w:val="000000"/>
                <w:u w:color="000000"/>
                <w:lang w:val="en-GB" w:eastAsia="en-GB"/>
              </w:rPr>
            </w:pPr>
            <w:r w:rsidRPr="002D5714">
              <w:rPr>
                <w:rFonts w:ascii="Calibri" w:eastAsia="Times New Roman" w:hAnsi="Calibri" w:cs="Calibri"/>
                <w:color w:val="000000"/>
                <w:u w:color="000000"/>
                <w:lang w:val="fr-FR" w:eastAsia="en-GB"/>
              </w:rPr>
              <w:t>sannoh964@gmail.com</w:t>
            </w:r>
          </w:p>
        </w:tc>
        <w:tc>
          <w:tcPr>
            <w:tcW w:w="1540" w:type="dxa"/>
            <w:tcBorders>
              <w:top w:val="single" w:sz="4" w:space="0" w:color="auto"/>
              <w:left w:val="single" w:sz="4" w:space="0" w:color="auto"/>
              <w:bottom w:val="single" w:sz="4" w:space="0" w:color="auto"/>
              <w:right w:val="single" w:sz="4" w:space="0" w:color="auto"/>
            </w:tcBorders>
            <w:noWrap/>
            <w:hideMark/>
          </w:tcPr>
          <w:p w14:paraId="0112C9E2"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PMingLiU" w:hAnsi="Calibri" w:cs="Arial"/>
                <w:lang w:val="en-GB" w:eastAsia="en-GB"/>
              </w:rPr>
              <w:t>077842459 / 088821157</w:t>
            </w:r>
          </w:p>
        </w:tc>
      </w:tr>
      <w:tr w:rsidR="002D5714" w:rsidRPr="002D5714" w14:paraId="28761894" w14:textId="77777777" w:rsidTr="00900CD8">
        <w:trPr>
          <w:trHeight w:val="161"/>
          <w:jc w:val="center"/>
        </w:trPr>
        <w:tc>
          <w:tcPr>
            <w:tcW w:w="878" w:type="dxa"/>
            <w:tcBorders>
              <w:top w:val="single" w:sz="4" w:space="0" w:color="auto"/>
              <w:left w:val="single" w:sz="4" w:space="0" w:color="auto"/>
              <w:bottom w:val="single" w:sz="4" w:space="0" w:color="auto"/>
              <w:right w:val="single" w:sz="4" w:space="0" w:color="auto"/>
            </w:tcBorders>
            <w:hideMark/>
          </w:tcPr>
          <w:p w14:paraId="11EF1AFC"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1CEAF277"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7C648C8E" w14:textId="77777777" w:rsidR="002D5714" w:rsidRPr="002D5714" w:rsidRDefault="002D5714" w:rsidP="002D5714">
            <w:pPr>
              <w:rPr>
                <w:rFonts w:ascii="Calibri" w:eastAsia="PMingLiU" w:hAnsi="Calibri" w:cs="Arial"/>
                <w:color w:val="000000"/>
                <w:lang w:val="fr-CA" w:eastAsia="en-GB"/>
              </w:rPr>
            </w:pPr>
            <w:r w:rsidRPr="002D5714">
              <w:rPr>
                <w:rFonts w:ascii="Calibri" w:eastAsia="Times New Roman" w:hAnsi="Calibri" w:cs="Calibri"/>
                <w:color w:val="000000"/>
                <w:lang w:val="fr-FR" w:eastAsia="en-GB"/>
              </w:rPr>
              <w:t>Prise en charge des cas – RSLAF</w:t>
            </w:r>
          </w:p>
        </w:tc>
        <w:tc>
          <w:tcPr>
            <w:tcW w:w="2160" w:type="dxa"/>
            <w:tcBorders>
              <w:top w:val="single" w:sz="4" w:space="0" w:color="auto"/>
              <w:left w:val="single" w:sz="4" w:space="0" w:color="auto"/>
              <w:bottom w:val="single" w:sz="4" w:space="0" w:color="auto"/>
              <w:right w:val="single" w:sz="4" w:space="0" w:color="auto"/>
            </w:tcBorders>
            <w:noWrap/>
            <w:hideMark/>
          </w:tcPr>
          <w:p w14:paraId="38710ECF"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BANGURA</w:t>
            </w:r>
          </w:p>
        </w:tc>
        <w:tc>
          <w:tcPr>
            <w:tcW w:w="1350" w:type="dxa"/>
            <w:tcBorders>
              <w:top w:val="single" w:sz="4" w:space="0" w:color="auto"/>
              <w:left w:val="single" w:sz="4" w:space="0" w:color="auto"/>
              <w:bottom w:val="single" w:sz="4" w:space="0" w:color="auto"/>
              <w:right w:val="single" w:sz="4" w:space="0" w:color="auto"/>
            </w:tcBorders>
            <w:hideMark/>
          </w:tcPr>
          <w:p w14:paraId="6451F257"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Hamid</w:t>
            </w:r>
          </w:p>
        </w:tc>
        <w:tc>
          <w:tcPr>
            <w:tcW w:w="1586" w:type="dxa"/>
            <w:tcBorders>
              <w:top w:val="single" w:sz="4" w:space="0" w:color="auto"/>
              <w:left w:val="single" w:sz="4" w:space="0" w:color="auto"/>
              <w:bottom w:val="single" w:sz="4" w:space="0" w:color="auto"/>
              <w:right w:val="single" w:sz="4" w:space="0" w:color="auto"/>
            </w:tcBorders>
          </w:tcPr>
          <w:p w14:paraId="36CAD6F6"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1EA56FAA"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Times New Roman" w:hAnsi="Calibri" w:cs="Calibri"/>
                <w:lang w:val="fr-FR" w:eastAsia="en-GB"/>
              </w:rPr>
              <w:t>hamidabangura@yahoo.com</w:t>
            </w:r>
          </w:p>
        </w:tc>
        <w:tc>
          <w:tcPr>
            <w:tcW w:w="1540" w:type="dxa"/>
            <w:tcBorders>
              <w:top w:val="single" w:sz="4" w:space="0" w:color="auto"/>
              <w:left w:val="single" w:sz="4" w:space="0" w:color="auto"/>
              <w:bottom w:val="single" w:sz="4" w:space="0" w:color="auto"/>
              <w:right w:val="single" w:sz="4" w:space="0" w:color="auto"/>
            </w:tcBorders>
            <w:noWrap/>
            <w:hideMark/>
          </w:tcPr>
          <w:p w14:paraId="4BB98D7F"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PMingLiU" w:hAnsi="Calibri" w:cs="Arial"/>
                <w:lang w:val="en-GB" w:eastAsia="en-GB"/>
              </w:rPr>
              <w:t>078517678 / 088458015</w:t>
            </w:r>
          </w:p>
        </w:tc>
      </w:tr>
      <w:tr w:rsidR="002D5714" w:rsidRPr="002D5714" w14:paraId="293618C6"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5599BEA1"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063310AA"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70130BFE"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Quarantaine – RSLAF</w:t>
            </w:r>
          </w:p>
        </w:tc>
        <w:tc>
          <w:tcPr>
            <w:tcW w:w="2160" w:type="dxa"/>
            <w:tcBorders>
              <w:top w:val="single" w:sz="4" w:space="0" w:color="auto"/>
              <w:left w:val="single" w:sz="4" w:space="0" w:color="auto"/>
              <w:bottom w:val="single" w:sz="4" w:space="0" w:color="auto"/>
              <w:right w:val="single" w:sz="4" w:space="0" w:color="auto"/>
            </w:tcBorders>
            <w:noWrap/>
            <w:hideMark/>
          </w:tcPr>
          <w:p w14:paraId="25BFFEFE"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KELLIE</w:t>
            </w:r>
          </w:p>
        </w:tc>
        <w:tc>
          <w:tcPr>
            <w:tcW w:w="1350" w:type="dxa"/>
            <w:tcBorders>
              <w:top w:val="single" w:sz="4" w:space="0" w:color="auto"/>
              <w:left w:val="single" w:sz="4" w:space="0" w:color="auto"/>
              <w:bottom w:val="single" w:sz="4" w:space="0" w:color="auto"/>
              <w:right w:val="single" w:sz="4" w:space="0" w:color="auto"/>
            </w:tcBorders>
            <w:hideMark/>
          </w:tcPr>
          <w:p w14:paraId="51A62985"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Richard</w:t>
            </w:r>
          </w:p>
        </w:tc>
        <w:tc>
          <w:tcPr>
            <w:tcW w:w="1586" w:type="dxa"/>
            <w:tcBorders>
              <w:top w:val="single" w:sz="4" w:space="0" w:color="auto"/>
              <w:left w:val="single" w:sz="4" w:space="0" w:color="auto"/>
              <w:bottom w:val="single" w:sz="4" w:space="0" w:color="auto"/>
              <w:right w:val="single" w:sz="4" w:space="0" w:color="auto"/>
            </w:tcBorders>
          </w:tcPr>
          <w:p w14:paraId="6E93A596"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31445644"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shd w:val="clear" w:color="auto" w:fill="FFFFFF"/>
                <w:lang w:val="fr-FR" w:eastAsia="en-GB"/>
              </w:rPr>
              <w:t>srichardkellie@yahoo.com</w:t>
            </w:r>
          </w:p>
        </w:tc>
        <w:tc>
          <w:tcPr>
            <w:tcW w:w="1540" w:type="dxa"/>
            <w:tcBorders>
              <w:top w:val="single" w:sz="4" w:space="0" w:color="auto"/>
              <w:left w:val="single" w:sz="4" w:space="0" w:color="auto"/>
              <w:bottom w:val="single" w:sz="4" w:space="0" w:color="auto"/>
              <w:right w:val="single" w:sz="4" w:space="0" w:color="auto"/>
            </w:tcBorders>
            <w:noWrap/>
            <w:hideMark/>
          </w:tcPr>
          <w:p w14:paraId="25AE4266"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PMingLiU" w:hAnsi="Calibri" w:cs="Arial"/>
                <w:lang w:val="en-GB" w:eastAsia="en-GB"/>
              </w:rPr>
              <w:t>077842507</w:t>
            </w:r>
          </w:p>
        </w:tc>
      </w:tr>
      <w:tr w:rsidR="002D5714" w:rsidRPr="002D5714" w14:paraId="57BD2724"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1B6135FB"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7B608DAF"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422878EC"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Funérailles - RSLAF</w:t>
            </w:r>
          </w:p>
        </w:tc>
        <w:tc>
          <w:tcPr>
            <w:tcW w:w="2160" w:type="dxa"/>
            <w:tcBorders>
              <w:top w:val="single" w:sz="4" w:space="0" w:color="auto"/>
              <w:left w:val="single" w:sz="4" w:space="0" w:color="auto"/>
              <w:bottom w:val="single" w:sz="4" w:space="0" w:color="auto"/>
              <w:right w:val="single" w:sz="4" w:space="0" w:color="auto"/>
            </w:tcBorders>
            <w:noWrap/>
            <w:hideMark/>
          </w:tcPr>
          <w:p w14:paraId="25B3C370"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KAMARA</w:t>
            </w:r>
          </w:p>
        </w:tc>
        <w:tc>
          <w:tcPr>
            <w:tcW w:w="1350" w:type="dxa"/>
            <w:tcBorders>
              <w:top w:val="single" w:sz="4" w:space="0" w:color="auto"/>
              <w:left w:val="single" w:sz="4" w:space="0" w:color="auto"/>
              <w:bottom w:val="single" w:sz="4" w:space="0" w:color="auto"/>
              <w:right w:val="single" w:sz="4" w:space="0" w:color="auto"/>
            </w:tcBorders>
            <w:hideMark/>
          </w:tcPr>
          <w:p w14:paraId="7C5D6106"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Foday</w:t>
            </w:r>
          </w:p>
        </w:tc>
        <w:tc>
          <w:tcPr>
            <w:tcW w:w="1586" w:type="dxa"/>
            <w:tcBorders>
              <w:top w:val="single" w:sz="4" w:space="0" w:color="auto"/>
              <w:left w:val="single" w:sz="4" w:space="0" w:color="auto"/>
              <w:bottom w:val="single" w:sz="4" w:space="0" w:color="auto"/>
              <w:right w:val="single" w:sz="4" w:space="0" w:color="auto"/>
            </w:tcBorders>
          </w:tcPr>
          <w:p w14:paraId="25600C02"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70B960B2" w14:textId="77777777" w:rsidR="002D5714" w:rsidRPr="002D5714" w:rsidRDefault="002D5714" w:rsidP="002D5714">
            <w:pPr>
              <w:rPr>
                <w:rFonts w:ascii="Calibri" w:eastAsia="Arial Unicode MS" w:hAnsi="Calibri" w:cs="Arial"/>
                <w:color w:val="000000"/>
                <w:u w:color="000000"/>
                <w:lang w:val="en-GB" w:eastAsia="en-GB"/>
              </w:rPr>
            </w:pPr>
            <w:r w:rsidRPr="002D5714">
              <w:rPr>
                <w:rFonts w:ascii="Calibri" w:eastAsia="Times New Roman" w:hAnsi="Calibri" w:cs="Calibri"/>
                <w:color w:val="000000"/>
                <w:u w:color="000000"/>
                <w:lang w:val="fr-FR" w:eastAsia="en-GB"/>
              </w:rPr>
              <w:t>baliakamarabambeno@gmail.com</w:t>
            </w:r>
          </w:p>
        </w:tc>
        <w:tc>
          <w:tcPr>
            <w:tcW w:w="1540" w:type="dxa"/>
            <w:tcBorders>
              <w:top w:val="single" w:sz="4" w:space="0" w:color="auto"/>
              <w:left w:val="single" w:sz="4" w:space="0" w:color="auto"/>
              <w:bottom w:val="single" w:sz="4" w:space="0" w:color="auto"/>
              <w:right w:val="single" w:sz="4" w:space="0" w:color="auto"/>
            </w:tcBorders>
            <w:noWrap/>
            <w:hideMark/>
          </w:tcPr>
          <w:p w14:paraId="12BF80CE"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PMingLiU" w:hAnsi="Calibri" w:cs="Arial"/>
                <w:lang w:val="en-GB" w:eastAsia="en-GB"/>
              </w:rPr>
              <w:t>077842733 / 088140586</w:t>
            </w:r>
          </w:p>
        </w:tc>
      </w:tr>
      <w:tr w:rsidR="002D5714" w:rsidRPr="002D5714" w14:paraId="0E6FD1E8"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0E9374C9"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49F3FB4A"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2FFC2F88"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Coordinateur pour le District</w:t>
            </w:r>
          </w:p>
        </w:tc>
        <w:tc>
          <w:tcPr>
            <w:tcW w:w="2160" w:type="dxa"/>
            <w:tcBorders>
              <w:top w:val="single" w:sz="4" w:space="0" w:color="auto"/>
              <w:left w:val="single" w:sz="4" w:space="0" w:color="auto"/>
              <w:bottom w:val="single" w:sz="4" w:space="0" w:color="auto"/>
              <w:right w:val="single" w:sz="4" w:space="0" w:color="auto"/>
            </w:tcBorders>
            <w:noWrap/>
            <w:hideMark/>
          </w:tcPr>
          <w:p w14:paraId="78B85297"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KAMARA</w:t>
            </w:r>
          </w:p>
        </w:tc>
        <w:tc>
          <w:tcPr>
            <w:tcW w:w="1350" w:type="dxa"/>
            <w:tcBorders>
              <w:top w:val="single" w:sz="4" w:space="0" w:color="auto"/>
              <w:left w:val="single" w:sz="4" w:space="0" w:color="auto"/>
              <w:bottom w:val="single" w:sz="4" w:space="0" w:color="auto"/>
              <w:right w:val="single" w:sz="4" w:space="0" w:color="auto"/>
            </w:tcBorders>
            <w:hideMark/>
          </w:tcPr>
          <w:p w14:paraId="5245510F"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Alfred</w:t>
            </w:r>
          </w:p>
        </w:tc>
        <w:tc>
          <w:tcPr>
            <w:tcW w:w="1586" w:type="dxa"/>
            <w:tcBorders>
              <w:top w:val="single" w:sz="4" w:space="0" w:color="auto"/>
              <w:left w:val="single" w:sz="4" w:space="0" w:color="auto"/>
              <w:bottom w:val="single" w:sz="4" w:space="0" w:color="auto"/>
              <w:right w:val="single" w:sz="4" w:space="0" w:color="auto"/>
            </w:tcBorders>
          </w:tcPr>
          <w:p w14:paraId="48437CFF"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601F2697" w14:textId="77777777" w:rsidR="002D5714" w:rsidRPr="002D5714" w:rsidRDefault="002D5714" w:rsidP="002D5714">
            <w:pPr>
              <w:rPr>
                <w:rFonts w:ascii="Calibri" w:eastAsia="Arial Unicode MS" w:hAnsi="Calibri" w:cs="Arial"/>
                <w:color w:val="000000"/>
                <w:u w:color="000000"/>
                <w:lang w:val="en-GB" w:eastAsia="en-GB"/>
              </w:rPr>
            </w:pPr>
            <w:r w:rsidRPr="002D5714">
              <w:rPr>
                <w:rFonts w:ascii="Calibri" w:eastAsia="Times New Roman" w:hAnsi="Calibri" w:cs="Calibri"/>
                <w:color w:val="000000"/>
                <w:u w:color="000000"/>
                <w:shd w:val="clear" w:color="auto" w:fill="FFFFFF"/>
                <w:lang w:val="fr-FR" w:eastAsia="en-GB"/>
              </w:rPr>
              <w:t>alfredmkamara@gmail.com</w:t>
            </w:r>
          </w:p>
        </w:tc>
        <w:tc>
          <w:tcPr>
            <w:tcW w:w="1540" w:type="dxa"/>
            <w:tcBorders>
              <w:top w:val="single" w:sz="4" w:space="0" w:color="auto"/>
              <w:left w:val="single" w:sz="4" w:space="0" w:color="auto"/>
              <w:bottom w:val="single" w:sz="4" w:space="0" w:color="auto"/>
              <w:right w:val="single" w:sz="4" w:space="0" w:color="auto"/>
            </w:tcBorders>
            <w:noWrap/>
            <w:hideMark/>
          </w:tcPr>
          <w:p w14:paraId="26185489"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Times New Roman" w:hAnsi="Calibri" w:cs="Arial"/>
                <w:lang w:val="en-GB" w:eastAsia="en-GB"/>
              </w:rPr>
              <w:t>030123434</w:t>
            </w:r>
          </w:p>
        </w:tc>
      </w:tr>
      <w:tr w:rsidR="002D5714" w:rsidRPr="002D5714" w14:paraId="22FB00D1"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72D4655B"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5941371D"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35EC3252"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 xml:space="preserve">Responsable médical du District </w:t>
            </w:r>
          </w:p>
        </w:tc>
        <w:tc>
          <w:tcPr>
            <w:tcW w:w="2160" w:type="dxa"/>
            <w:tcBorders>
              <w:top w:val="single" w:sz="4" w:space="0" w:color="auto"/>
              <w:left w:val="single" w:sz="4" w:space="0" w:color="auto"/>
              <w:bottom w:val="single" w:sz="4" w:space="0" w:color="auto"/>
              <w:right w:val="single" w:sz="4" w:space="0" w:color="auto"/>
            </w:tcBorders>
            <w:noWrap/>
            <w:hideMark/>
          </w:tcPr>
          <w:p w14:paraId="41534503"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SESAY</w:t>
            </w:r>
          </w:p>
        </w:tc>
        <w:tc>
          <w:tcPr>
            <w:tcW w:w="1350" w:type="dxa"/>
            <w:tcBorders>
              <w:top w:val="single" w:sz="4" w:space="0" w:color="auto"/>
              <w:left w:val="single" w:sz="4" w:space="0" w:color="auto"/>
              <w:bottom w:val="single" w:sz="4" w:space="0" w:color="auto"/>
              <w:right w:val="single" w:sz="4" w:space="0" w:color="auto"/>
            </w:tcBorders>
            <w:hideMark/>
          </w:tcPr>
          <w:p w14:paraId="328B5A09"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Foday</w:t>
            </w:r>
          </w:p>
        </w:tc>
        <w:tc>
          <w:tcPr>
            <w:tcW w:w="1586" w:type="dxa"/>
            <w:tcBorders>
              <w:top w:val="single" w:sz="4" w:space="0" w:color="auto"/>
              <w:left w:val="single" w:sz="4" w:space="0" w:color="auto"/>
              <w:bottom w:val="single" w:sz="4" w:space="0" w:color="auto"/>
              <w:right w:val="single" w:sz="4" w:space="0" w:color="auto"/>
            </w:tcBorders>
          </w:tcPr>
          <w:p w14:paraId="2709CBDC"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3DDE806D" w14:textId="77777777" w:rsidR="002D5714" w:rsidRPr="002D5714" w:rsidRDefault="002D5714" w:rsidP="002D5714">
            <w:pPr>
              <w:rPr>
                <w:rFonts w:ascii="Calibri" w:eastAsia="Arial Unicode MS" w:hAnsi="Calibri" w:cs="Arial"/>
                <w:color w:val="000000"/>
                <w:u w:color="000000"/>
                <w:lang w:val="en-GB" w:eastAsia="en-GB"/>
              </w:rPr>
            </w:pPr>
            <w:r w:rsidRPr="002D5714">
              <w:rPr>
                <w:rFonts w:ascii="Calibri" w:eastAsia="Times New Roman" w:hAnsi="Calibri" w:cs="Calibri"/>
                <w:color w:val="000000"/>
                <w:u w:color="000000"/>
                <w:shd w:val="clear" w:color="auto" w:fill="FFFFFF"/>
                <w:lang w:val="fr-FR" w:eastAsia="en-GB"/>
              </w:rPr>
              <w:t>fsesay27@yahoo.com</w:t>
            </w:r>
          </w:p>
        </w:tc>
        <w:tc>
          <w:tcPr>
            <w:tcW w:w="1540" w:type="dxa"/>
            <w:tcBorders>
              <w:top w:val="single" w:sz="4" w:space="0" w:color="auto"/>
              <w:left w:val="single" w:sz="4" w:space="0" w:color="auto"/>
              <w:bottom w:val="single" w:sz="4" w:space="0" w:color="auto"/>
              <w:right w:val="single" w:sz="4" w:space="0" w:color="auto"/>
            </w:tcBorders>
            <w:noWrap/>
            <w:hideMark/>
          </w:tcPr>
          <w:p w14:paraId="1BF1B6B5"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Times New Roman" w:hAnsi="Calibri" w:cs="Arial"/>
                <w:color w:val="000000"/>
                <w:lang w:val="en-GB" w:eastAsia="en-GB"/>
              </w:rPr>
              <w:t>077844641</w:t>
            </w:r>
          </w:p>
        </w:tc>
      </w:tr>
      <w:tr w:rsidR="002D5714" w:rsidRPr="002D5714" w14:paraId="5140495E"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125B1B35"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4C2F8C75"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572C33ED"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Responsable du District</w:t>
            </w:r>
          </w:p>
        </w:tc>
        <w:tc>
          <w:tcPr>
            <w:tcW w:w="2160" w:type="dxa"/>
            <w:tcBorders>
              <w:top w:val="single" w:sz="4" w:space="0" w:color="auto"/>
              <w:left w:val="single" w:sz="4" w:space="0" w:color="auto"/>
              <w:bottom w:val="single" w:sz="4" w:space="0" w:color="auto"/>
              <w:right w:val="single" w:sz="4" w:space="0" w:color="auto"/>
            </w:tcBorders>
            <w:noWrap/>
            <w:hideMark/>
          </w:tcPr>
          <w:p w14:paraId="55D0F99E"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KAMARA</w:t>
            </w:r>
          </w:p>
        </w:tc>
        <w:tc>
          <w:tcPr>
            <w:tcW w:w="1350" w:type="dxa"/>
            <w:tcBorders>
              <w:top w:val="single" w:sz="4" w:space="0" w:color="auto"/>
              <w:left w:val="single" w:sz="4" w:space="0" w:color="auto"/>
              <w:bottom w:val="single" w:sz="4" w:space="0" w:color="auto"/>
              <w:right w:val="single" w:sz="4" w:space="0" w:color="auto"/>
            </w:tcBorders>
            <w:hideMark/>
          </w:tcPr>
          <w:p w14:paraId="4D04F92A"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Abu</w:t>
            </w:r>
          </w:p>
        </w:tc>
        <w:tc>
          <w:tcPr>
            <w:tcW w:w="1586" w:type="dxa"/>
            <w:tcBorders>
              <w:top w:val="single" w:sz="4" w:space="0" w:color="auto"/>
              <w:left w:val="single" w:sz="4" w:space="0" w:color="auto"/>
              <w:bottom w:val="single" w:sz="4" w:space="0" w:color="auto"/>
              <w:right w:val="single" w:sz="4" w:space="0" w:color="auto"/>
            </w:tcBorders>
          </w:tcPr>
          <w:p w14:paraId="52D7A722"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hideMark/>
          </w:tcPr>
          <w:p w14:paraId="3633AC41" w14:textId="77777777" w:rsidR="002D5714" w:rsidRPr="002D5714" w:rsidRDefault="00BB0ADA" w:rsidP="002D5714">
            <w:pPr>
              <w:rPr>
                <w:rFonts w:ascii="Calibri" w:eastAsia="Arial Unicode MS" w:hAnsi="Calibri" w:cs="Arial"/>
                <w:u w:color="000000"/>
                <w:lang w:val="en-GB" w:eastAsia="en-GB"/>
              </w:rPr>
            </w:pPr>
            <w:hyperlink r:id="rId63" w:history="1">
              <w:r w:rsidR="002D5714" w:rsidRPr="002D5714">
                <w:rPr>
                  <w:rFonts w:ascii="Calibri" w:eastAsia="Times New Roman" w:hAnsi="Calibri" w:cs="Calibri"/>
                  <w:u w:color="000000"/>
                  <w:shd w:val="clear" w:color="auto" w:fill="FFFFFF"/>
                  <w:lang w:val="fr-FR" w:eastAsia="en-GB"/>
                </w:rPr>
                <w:t>abubakarrkamara1975.ak28@gmail.com</w:t>
              </w:r>
            </w:hyperlink>
          </w:p>
        </w:tc>
        <w:tc>
          <w:tcPr>
            <w:tcW w:w="1540" w:type="dxa"/>
            <w:tcBorders>
              <w:top w:val="single" w:sz="4" w:space="0" w:color="auto"/>
              <w:left w:val="single" w:sz="4" w:space="0" w:color="auto"/>
              <w:bottom w:val="single" w:sz="4" w:space="0" w:color="auto"/>
              <w:right w:val="single" w:sz="4" w:space="0" w:color="auto"/>
            </w:tcBorders>
            <w:noWrap/>
            <w:hideMark/>
          </w:tcPr>
          <w:p w14:paraId="7763F87A" w14:textId="77777777" w:rsidR="002D5714" w:rsidRPr="002D5714" w:rsidRDefault="002D5714" w:rsidP="002D5714">
            <w:pPr>
              <w:spacing w:after="200" w:line="276" w:lineRule="auto"/>
              <w:rPr>
                <w:rFonts w:ascii="Calibri" w:eastAsia="Times New Roman" w:hAnsi="Calibri" w:cs="Arial"/>
                <w:lang w:val="en-GB" w:eastAsia="en-GB"/>
              </w:rPr>
            </w:pPr>
            <w:r w:rsidRPr="002D5714">
              <w:rPr>
                <w:rFonts w:ascii="Calibri" w:eastAsia="Times New Roman" w:hAnsi="Calibri" w:cs="Arial"/>
                <w:lang w:val="en-GB" w:eastAsia="en-GB"/>
              </w:rPr>
              <w:t>076606077 / 077295194</w:t>
            </w:r>
          </w:p>
        </w:tc>
      </w:tr>
      <w:tr w:rsidR="002D5714" w:rsidRPr="002D5714" w14:paraId="2BD13735"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2A4B8E51"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2F9F73DF"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132CFF91"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COS RSLAF</w:t>
            </w:r>
          </w:p>
        </w:tc>
        <w:tc>
          <w:tcPr>
            <w:tcW w:w="2160" w:type="dxa"/>
            <w:tcBorders>
              <w:top w:val="single" w:sz="4" w:space="0" w:color="auto"/>
              <w:left w:val="single" w:sz="4" w:space="0" w:color="auto"/>
              <w:bottom w:val="single" w:sz="4" w:space="0" w:color="auto"/>
              <w:right w:val="single" w:sz="4" w:space="0" w:color="auto"/>
            </w:tcBorders>
            <w:noWrap/>
            <w:hideMark/>
          </w:tcPr>
          <w:p w14:paraId="40551114"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CONTEH</w:t>
            </w:r>
          </w:p>
        </w:tc>
        <w:tc>
          <w:tcPr>
            <w:tcW w:w="1350" w:type="dxa"/>
            <w:tcBorders>
              <w:top w:val="single" w:sz="4" w:space="0" w:color="auto"/>
              <w:left w:val="single" w:sz="4" w:space="0" w:color="auto"/>
              <w:bottom w:val="single" w:sz="4" w:space="0" w:color="auto"/>
              <w:right w:val="single" w:sz="4" w:space="0" w:color="auto"/>
            </w:tcBorders>
            <w:hideMark/>
          </w:tcPr>
          <w:p w14:paraId="1A7CF6F9"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Brewar</w:t>
            </w:r>
          </w:p>
        </w:tc>
        <w:tc>
          <w:tcPr>
            <w:tcW w:w="1586" w:type="dxa"/>
            <w:tcBorders>
              <w:top w:val="single" w:sz="4" w:space="0" w:color="auto"/>
              <w:left w:val="single" w:sz="4" w:space="0" w:color="auto"/>
              <w:bottom w:val="single" w:sz="4" w:space="0" w:color="auto"/>
              <w:right w:val="single" w:sz="4" w:space="0" w:color="auto"/>
            </w:tcBorders>
          </w:tcPr>
          <w:p w14:paraId="471B659B"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0115B92A" w14:textId="77777777" w:rsidR="002D5714" w:rsidRPr="002D5714" w:rsidRDefault="002D5714" w:rsidP="002D5714">
            <w:pPr>
              <w:rPr>
                <w:rFonts w:ascii="Calibri" w:eastAsia="Arial Unicode MS" w:hAnsi="Calibri" w:cs="Arial"/>
                <w:color w:val="000000"/>
                <w:u w:color="000000"/>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396D292B"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Times New Roman" w:hAnsi="Calibri" w:cs="Arial"/>
                <w:lang w:val="en-GB" w:eastAsia="en-GB"/>
              </w:rPr>
              <w:t>076946565</w:t>
            </w:r>
          </w:p>
        </w:tc>
      </w:tr>
      <w:tr w:rsidR="002D5714" w:rsidRPr="002D5714" w14:paraId="26664826" w14:textId="77777777" w:rsidTr="00900CD8">
        <w:trPr>
          <w:trHeight w:val="300"/>
          <w:jc w:val="center"/>
        </w:trPr>
        <w:tc>
          <w:tcPr>
            <w:tcW w:w="878" w:type="dxa"/>
            <w:tcBorders>
              <w:top w:val="single" w:sz="4" w:space="0" w:color="auto"/>
              <w:left w:val="single" w:sz="4" w:space="0" w:color="auto"/>
              <w:bottom w:val="single" w:sz="4" w:space="0" w:color="auto"/>
              <w:right w:val="single" w:sz="4" w:space="0" w:color="auto"/>
            </w:tcBorders>
            <w:hideMark/>
          </w:tcPr>
          <w:p w14:paraId="143FB05E"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Sierra Leone</w:t>
            </w:r>
          </w:p>
        </w:tc>
        <w:tc>
          <w:tcPr>
            <w:tcW w:w="941" w:type="dxa"/>
            <w:tcBorders>
              <w:top w:val="single" w:sz="4" w:space="0" w:color="auto"/>
              <w:left w:val="single" w:sz="4" w:space="0" w:color="auto"/>
              <w:bottom w:val="single" w:sz="4" w:space="0" w:color="auto"/>
              <w:right w:val="single" w:sz="4" w:space="0" w:color="auto"/>
            </w:tcBorders>
            <w:hideMark/>
          </w:tcPr>
          <w:p w14:paraId="6A5DBDE5" w14:textId="77777777" w:rsidR="002D5714" w:rsidRPr="002D5714" w:rsidRDefault="002D5714" w:rsidP="002D5714">
            <w:pPr>
              <w:rPr>
                <w:rFonts w:ascii="Calibri" w:eastAsia="PMingLiU" w:hAnsi="Calibri" w:cs="Arial"/>
                <w:lang w:val="en-GB" w:eastAsia="en-GB"/>
              </w:rPr>
            </w:pPr>
            <w:r w:rsidRPr="002D5714">
              <w:rPr>
                <w:rFonts w:ascii="Calibri" w:eastAsia="Times New Roman" w:hAnsi="Calibri" w:cs="Calibri"/>
                <w:lang w:val="fr-FR" w:eastAsia="en-GB"/>
              </w:rPr>
              <w:t>Kambia</w:t>
            </w:r>
          </w:p>
        </w:tc>
        <w:tc>
          <w:tcPr>
            <w:tcW w:w="4049" w:type="dxa"/>
            <w:tcBorders>
              <w:top w:val="single" w:sz="4" w:space="0" w:color="auto"/>
              <w:left w:val="single" w:sz="4" w:space="0" w:color="auto"/>
              <w:bottom w:val="single" w:sz="4" w:space="0" w:color="auto"/>
              <w:right w:val="single" w:sz="4" w:space="0" w:color="auto"/>
            </w:tcBorders>
            <w:noWrap/>
            <w:hideMark/>
          </w:tcPr>
          <w:p w14:paraId="294AD96D" w14:textId="77777777" w:rsidR="002D5714" w:rsidRPr="002D5714" w:rsidRDefault="002D5714" w:rsidP="002D5714">
            <w:pPr>
              <w:rPr>
                <w:rFonts w:ascii="Calibri" w:eastAsia="PMingLiU" w:hAnsi="Calibri" w:cs="Arial"/>
                <w:color w:val="000000"/>
                <w:lang w:val="fr-CA" w:eastAsia="en-GB"/>
              </w:rPr>
            </w:pPr>
            <w:r w:rsidRPr="002D5714">
              <w:rPr>
                <w:rFonts w:ascii="Calibri" w:eastAsia="Times New Roman" w:hAnsi="Calibri" w:cs="Calibri"/>
                <w:color w:val="000000"/>
                <w:lang w:val="fr-FR" w:eastAsia="en-GB"/>
              </w:rPr>
              <w:t>LUT – Police du Sierra Leone (SLP) (surintendant en chef)</w:t>
            </w:r>
          </w:p>
        </w:tc>
        <w:tc>
          <w:tcPr>
            <w:tcW w:w="2160" w:type="dxa"/>
            <w:tcBorders>
              <w:top w:val="single" w:sz="4" w:space="0" w:color="auto"/>
              <w:left w:val="single" w:sz="4" w:space="0" w:color="auto"/>
              <w:bottom w:val="single" w:sz="4" w:space="0" w:color="auto"/>
              <w:right w:val="single" w:sz="4" w:space="0" w:color="auto"/>
            </w:tcBorders>
            <w:noWrap/>
            <w:hideMark/>
          </w:tcPr>
          <w:p w14:paraId="3783FF44" w14:textId="77777777" w:rsidR="002D5714" w:rsidRPr="002D5714" w:rsidRDefault="002D5714" w:rsidP="002D5714">
            <w:pPr>
              <w:rPr>
                <w:rFonts w:ascii="Calibri" w:eastAsia="PMingLiU" w:hAnsi="Calibri" w:cs="Arial"/>
                <w:color w:val="000000"/>
                <w:lang w:val="en-GB" w:eastAsia="en-GB"/>
              </w:rPr>
            </w:pPr>
            <w:r w:rsidRPr="002D5714">
              <w:rPr>
                <w:rFonts w:ascii="Calibri" w:eastAsia="Times New Roman" w:hAnsi="Calibri" w:cs="Calibri"/>
                <w:color w:val="000000"/>
                <w:lang w:val="fr-FR" w:eastAsia="en-GB"/>
              </w:rPr>
              <w:t>SESAY</w:t>
            </w:r>
          </w:p>
        </w:tc>
        <w:tc>
          <w:tcPr>
            <w:tcW w:w="1350" w:type="dxa"/>
            <w:tcBorders>
              <w:top w:val="single" w:sz="4" w:space="0" w:color="auto"/>
              <w:left w:val="single" w:sz="4" w:space="0" w:color="auto"/>
              <w:bottom w:val="single" w:sz="4" w:space="0" w:color="auto"/>
              <w:right w:val="single" w:sz="4" w:space="0" w:color="auto"/>
            </w:tcBorders>
          </w:tcPr>
          <w:p w14:paraId="5DE4B748" w14:textId="77777777" w:rsidR="002D5714" w:rsidRPr="002D5714" w:rsidRDefault="002D5714" w:rsidP="002D5714">
            <w:pPr>
              <w:rPr>
                <w:rFonts w:ascii="Calibri" w:eastAsia="PMingLiU" w:hAnsi="Calibri" w:cs="Arial"/>
                <w:color w:val="000000"/>
                <w:lang w:val="en-GB" w:eastAsia="en-GB"/>
              </w:rPr>
            </w:pPr>
          </w:p>
        </w:tc>
        <w:tc>
          <w:tcPr>
            <w:tcW w:w="1586" w:type="dxa"/>
            <w:tcBorders>
              <w:top w:val="single" w:sz="4" w:space="0" w:color="auto"/>
              <w:left w:val="single" w:sz="4" w:space="0" w:color="auto"/>
              <w:bottom w:val="single" w:sz="4" w:space="0" w:color="auto"/>
              <w:right w:val="single" w:sz="4" w:space="0" w:color="auto"/>
            </w:tcBorders>
          </w:tcPr>
          <w:p w14:paraId="2A582E5B" w14:textId="77777777" w:rsidR="002D5714" w:rsidRPr="002D5714" w:rsidRDefault="002D5714" w:rsidP="002D5714">
            <w:pPr>
              <w:rPr>
                <w:rFonts w:ascii="Calibri" w:eastAsia="PMingLiU" w:hAnsi="Calibri" w:cs="Arial"/>
                <w:color w:val="000000"/>
                <w:lang w:val="en-GB" w:eastAsia="en-GB"/>
              </w:rPr>
            </w:pPr>
          </w:p>
        </w:tc>
        <w:tc>
          <w:tcPr>
            <w:tcW w:w="3174" w:type="dxa"/>
            <w:tcBorders>
              <w:top w:val="single" w:sz="4" w:space="0" w:color="auto"/>
              <w:left w:val="single" w:sz="4" w:space="0" w:color="auto"/>
              <w:bottom w:val="single" w:sz="4" w:space="0" w:color="auto"/>
              <w:right w:val="single" w:sz="4" w:space="0" w:color="auto"/>
            </w:tcBorders>
            <w:noWrap/>
          </w:tcPr>
          <w:p w14:paraId="13F733CD" w14:textId="77777777" w:rsidR="002D5714" w:rsidRPr="002D5714" w:rsidRDefault="002D5714" w:rsidP="002D5714">
            <w:pPr>
              <w:rPr>
                <w:rFonts w:ascii="Calibri" w:eastAsia="Arial Unicode MS" w:hAnsi="Calibri" w:cs="Arial"/>
                <w:color w:val="000000"/>
                <w:u w:color="000000"/>
                <w:lang w:val="en-GB" w:eastAsia="en-GB"/>
              </w:rPr>
            </w:pPr>
          </w:p>
        </w:tc>
        <w:tc>
          <w:tcPr>
            <w:tcW w:w="1540" w:type="dxa"/>
            <w:tcBorders>
              <w:top w:val="single" w:sz="4" w:space="0" w:color="auto"/>
              <w:left w:val="single" w:sz="4" w:space="0" w:color="auto"/>
              <w:bottom w:val="single" w:sz="4" w:space="0" w:color="auto"/>
              <w:right w:val="single" w:sz="4" w:space="0" w:color="auto"/>
            </w:tcBorders>
            <w:noWrap/>
            <w:hideMark/>
          </w:tcPr>
          <w:p w14:paraId="0D8AF1AE" w14:textId="77777777" w:rsidR="002D5714" w:rsidRPr="002D5714" w:rsidRDefault="002D5714" w:rsidP="002D5714">
            <w:pPr>
              <w:spacing w:after="200" w:line="276" w:lineRule="auto"/>
              <w:rPr>
                <w:rFonts w:ascii="Calibri" w:eastAsia="PMingLiU" w:hAnsi="Calibri" w:cs="Arial"/>
                <w:lang w:val="en-GB" w:eastAsia="en-GB"/>
              </w:rPr>
            </w:pPr>
            <w:r w:rsidRPr="002D5714">
              <w:rPr>
                <w:rFonts w:ascii="Calibri" w:eastAsia="Times New Roman" w:hAnsi="Calibri" w:cs="Arial"/>
                <w:lang w:val="en-GB" w:eastAsia="en-GB"/>
              </w:rPr>
              <w:t>077867376</w:t>
            </w:r>
          </w:p>
        </w:tc>
      </w:tr>
      <w:tr w:rsidR="002D5714" w:rsidRPr="002D5714" w14:paraId="11E97EE7" w14:textId="77777777" w:rsidTr="00900CD8">
        <w:trPr>
          <w:trHeight w:val="300"/>
          <w:jc w:val="center"/>
        </w:trPr>
        <w:tc>
          <w:tcPr>
            <w:tcW w:w="15678" w:type="dxa"/>
            <w:gridSpan w:val="8"/>
            <w:tcBorders>
              <w:top w:val="single" w:sz="4" w:space="0" w:color="auto"/>
              <w:left w:val="single" w:sz="4" w:space="0" w:color="auto"/>
              <w:bottom w:val="single" w:sz="4" w:space="0" w:color="auto"/>
              <w:right w:val="single" w:sz="4" w:space="0" w:color="auto"/>
            </w:tcBorders>
            <w:shd w:val="clear" w:color="auto" w:fill="FFFF00"/>
            <w:hideMark/>
          </w:tcPr>
          <w:p w14:paraId="3CEAAC87" w14:textId="77777777" w:rsidR="002D5714" w:rsidRPr="002D5714" w:rsidRDefault="002D5714" w:rsidP="002D5714">
            <w:pPr>
              <w:rPr>
                <w:rFonts w:ascii="Calibri" w:eastAsia="PMingLiU" w:hAnsi="Calibri" w:cs="Arial"/>
                <w:color w:val="000000"/>
                <w:lang w:val="fr-CA" w:eastAsia="en-GB"/>
              </w:rPr>
            </w:pPr>
            <w:r w:rsidRPr="002D5714">
              <w:rPr>
                <w:rFonts w:ascii="Calibri" w:eastAsia="Times New Roman" w:hAnsi="Calibri" w:cs="Calibri"/>
                <w:sz w:val="22"/>
                <w:szCs w:val="22"/>
                <w:lang w:val="fr-FR" w:eastAsia="en-GB"/>
              </w:rPr>
              <w:t>Beaucoup d’autres renseignements à ajouter, qui et comment ?</w:t>
            </w:r>
          </w:p>
        </w:tc>
      </w:tr>
    </w:tbl>
    <w:p w14:paraId="31305BA0" w14:textId="77777777" w:rsidR="002D5714" w:rsidRDefault="002D5714" w:rsidP="00EC0701">
      <w:pPr>
        <w:rPr>
          <w:rFonts w:asciiTheme="majorHAnsi" w:hAnsiTheme="majorHAnsi"/>
        </w:rPr>
        <w:sectPr w:rsidR="002D5714" w:rsidSect="002D5714">
          <w:footnotePr>
            <w:numFmt w:val="lowerLetter"/>
          </w:footnotePr>
          <w:pgSz w:w="15840" w:h="12240" w:orient="landscape"/>
          <w:pgMar w:top="1440" w:right="1440" w:bottom="1440" w:left="1440" w:header="720" w:footer="720" w:gutter="0"/>
          <w:cols w:space="720"/>
          <w:docGrid w:linePitch="360"/>
        </w:sectPr>
      </w:pPr>
    </w:p>
    <w:p w14:paraId="2737CE10" w14:textId="77777777" w:rsidR="002D5714" w:rsidRPr="002D5714" w:rsidRDefault="002D5714" w:rsidP="00900CD8">
      <w:pPr>
        <w:jc w:val="right"/>
        <w:rPr>
          <w:rFonts w:ascii="Calibri" w:eastAsia="PMingLiU" w:hAnsi="Calibri" w:cs="Arial"/>
          <w:sz w:val="22"/>
          <w:szCs w:val="22"/>
          <w:lang w:val="fr-CA" w:eastAsia="en-GB"/>
        </w:rPr>
      </w:pPr>
      <w:r w:rsidRPr="002D5714">
        <w:rPr>
          <w:rFonts w:ascii="Calibri" w:eastAsia="Times New Roman" w:hAnsi="Calibri" w:cs="Calibri"/>
          <w:sz w:val="22"/>
          <w:szCs w:val="22"/>
          <w:lang w:val="fr-FR" w:eastAsia="en-GB"/>
        </w:rPr>
        <w:t>Annexe D au Protocole d’entente entre Forécariah et Kambia</w:t>
      </w:r>
    </w:p>
    <w:p w14:paraId="22E8F37C" w14:textId="77777777" w:rsidR="002D5714" w:rsidRPr="002D5714" w:rsidRDefault="002D5714" w:rsidP="00900CD8">
      <w:pPr>
        <w:jc w:val="right"/>
        <w:rPr>
          <w:rFonts w:ascii="Calibri" w:eastAsia="PMingLiU" w:hAnsi="Calibri" w:cs="Arial"/>
          <w:b/>
          <w:sz w:val="36"/>
          <w:szCs w:val="22"/>
          <w:lang w:val="it-IT" w:eastAsia="en-GB"/>
        </w:rPr>
      </w:pPr>
      <w:r w:rsidRPr="002D5714">
        <w:rPr>
          <w:rFonts w:ascii="Calibri" w:eastAsia="Times New Roman" w:hAnsi="Calibri" w:cs="Calibri"/>
          <w:b/>
          <w:bCs/>
          <w:sz w:val="36"/>
          <w:szCs w:val="36"/>
          <w:lang w:val="fr-FR" w:eastAsia="en-GB"/>
        </w:rPr>
        <w:t>Guide de poche concernant les points de passage de la frontière</w:t>
      </w:r>
    </w:p>
    <w:p w14:paraId="5DD1B450" w14:textId="77777777" w:rsidR="002D5714" w:rsidRPr="002D5714" w:rsidRDefault="002D5714" w:rsidP="00900CD8">
      <w:pPr>
        <w:jc w:val="right"/>
        <w:rPr>
          <w:rFonts w:ascii="Calibri" w:eastAsia="PMingLiU" w:hAnsi="Calibri" w:cs="Arial"/>
          <w:sz w:val="22"/>
          <w:szCs w:val="22"/>
          <w:lang w:val="it-IT" w:eastAsia="en-GB"/>
        </w:rPr>
      </w:pPr>
      <w:r w:rsidRPr="002D5714">
        <w:rPr>
          <w:rFonts w:ascii="Calibri" w:eastAsia="Times New Roman" w:hAnsi="Calibri" w:cs="Calibri"/>
          <w:sz w:val="22"/>
          <w:szCs w:val="22"/>
          <w:lang w:val="fr-FR" w:eastAsia="en-GB"/>
        </w:rPr>
        <w:t>7 mars 2015</w:t>
      </w:r>
    </w:p>
    <w:p w14:paraId="50FF39DA" w14:textId="77777777" w:rsidR="002D5714" w:rsidRPr="002D5714" w:rsidRDefault="002D5714" w:rsidP="00900CD8">
      <w:pPr>
        <w:jc w:val="right"/>
        <w:rPr>
          <w:rFonts w:ascii="Calibri" w:eastAsia="PMingLiU" w:hAnsi="Calibri" w:cs="Arial"/>
          <w:szCs w:val="22"/>
          <w:lang w:val="it-IT" w:eastAsia="en-GB"/>
        </w:rPr>
      </w:pPr>
    </w:p>
    <w:p w14:paraId="6A5B4366" w14:textId="77777777" w:rsidR="002D5714" w:rsidRPr="002D5714" w:rsidRDefault="002D5714" w:rsidP="00900CD8">
      <w:pPr>
        <w:rPr>
          <w:rFonts w:ascii="Calibri" w:eastAsia="PMingLiU" w:hAnsi="Calibri" w:cs="Arial"/>
          <w:szCs w:val="22"/>
          <w:lang w:val="fr-CA" w:eastAsia="en-GB"/>
        </w:rPr>
      </w:pPr>
    </w:p>
    <w:p w14:paraId="4A358CC6" w14:textId="77777777" w:rsidR="002D5714" w:rsidRPr="002D5714" w:rsidRDefault="002D5714" w:rsidP="00900CD8">
      <w:pPr>
        <w:rPr>
          <w:rFonts w:ascii="Calibri" w:eastAsia="PMingLiU" w:hAnsi="Calibri" w:cs="Arial"/>
          <w:b/>
          <w:szCs w:val="22"/>
          <w:lang w:val="fr-CA" w:eastAsia="en-GB"/>
        </w:rPr>
      </w:pPr>
      <w:r w:rsidRPr="002D5714">
        <w:rPr>
          <w:rFonts w:ascii="Calibri" w:eastAsia="Times New Roman" w:hAnsi="Calibri" w:cs="Calibri"/>
          <w:lang w:val="fr-FR" w:eastAsia="en-GB"/>
        </w:rPr>
        <w:t>Les formulaires suivants constituent un guide de poche pour les personnes responsables de la surveillance des points de passage de la frontière entre la Guinée et la Sierra Leone.</w:t>
      </w:r>
    </w:p>
    <w:p w14:paraId="03667747" w14:textId="77777777" w:rsidR="002D5714" w:rsidRPr="002D5714" w:rsidRDefault="002D5714" w:rsidP="00900CD8">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Vue d’ensemble</w:t>
      </w:r>
    </w:p>
    <w:p w14:paraId="0CFA8F20" w14:textId="77777777" w:rsidR="002D5714" w:rsidRPr="002D5714" w:rsidRDefault="002D5714" w:rsidP="00900CD8">
      <w:pPr>
        <w:numPr>
          <w:ilvl w:val="0"/>
          <w:numId w:val="44"/>
        </w:numPr>
        <w:rPr>
          <w:rFonts w:ascii="Calibri" w:eastAsia="PMingLiU" w:hAnsi="Calibri" w:cs="Arial"/>
          <w:szCs w:val="22"/>
          <w:lang w:val="fr-CA" w:eastAsia="en-GB"/>
        </w:rPr>
      </w:pPr>
      <w:r w:rsidRPr="002D5714">
        <w:rPr>
          <w:rFonts w:ascii="Calibri" w:eastAsia="Times New Roman" w:hAnsi="Calibri" w:cs="Calibri"/>
          <w:lang w:val="fr-FR" w:eastAsia="en-GB"/>
        </w:rPr>
        <w:t xml:space="preserve">La frontière entre la Sierra Leone et la Guinée a de nombreux points de passage, la plupart non officiels. </w:t>
      </w:r>
    </w:p>
    <w:p w14:paraId="0351782D" w14:textId="77777777" w:rsidR="002D5714" w:rsidRPr="002D5714" w:rsidRDefault="002D5714" w:rsidP="00900CD8">
      <w:pPr>
        <w:numPr>
          <w:ilvl w:val="0"/>
          <w:numId w:val="44"/>
        </w:numPr>
        <w:rPr>
          <w:rFonts w:ascii="Calibri" w:eastAsia="PMingLiU" w:hAnsi="Calibri" w:cs="Arial"/>
          <w:szCs w:val="22"/>
          <w:lang w:val="fr-CA" w:eastAsia="en-GB"/>
        </w:rPr>
      </w:pPr>
      <w:r w:rsidRPr="002D5714">
        <w:rPr>
          <w:rFonts w:ascii="Calibri" w:eastAsia="Times New Roman" w:hAnsi="Calibri" w:cs="Calibri"/>
          <w:lang w:val="fr-FR" w:eastAsia="en-GB"/>
        </w:rPr>
        <w:t>La circulation est très intense, surtout près des marchés et des gros villages.</w:t>
      </w:r>
    </w:p>
    <w:p w14:paraId="677BF6A4" w14:textId="77777777" w:rsidR="002D5714" w:rsidRPr="002D5714" w:rsidRDefault="002D5714" w:rsidP="00900CD8">
      <w:pPr>
        <w:numPr>
          <w:ilvl w:val="0"/>
          <w:numId w:val="44"/>
        </w:numPr>
        <w:rPr>
          <w:rFonts w:ascii="Calibri" w:eastAsia="PMingLiU" w:hAnsi="Calibri" w:cs="Arial"/>
          <w:szCs w:val="22"/>
          <w:lang w:val="fr-CA" w:eastAsia="en-GB"/>
        </w:rPr>
      </w:pPr>
      <w:r w:rsidRPr="002D5714">
        <w:rPr>
          <w:rFonts w:ascii="Calibri" w:eastAsia="Times New Roman" w:hAnsi="Calibri" w:cs="Calibri"/>
          <w:lang w:val="fr-FR" w:eastAsia="en-GB"/>
        </w:rPr>
        <w:t xml:space="preserve">Nous avons besoin de surveiller qui entre et sort de la Sierra Leone, afin d’assurer que personne ne puisse propager Ébola dans le pays. </w:t>
      </w:r>
    </w:p>
    <w:p w14:paraId="19B1D670" w14:textId="77777777" w:rsidR="002D5714" w:rsidRPr="002D5714" w:rsidRDefault="002D5714" w:rsidP="00900CD8">
      <w:pPr>
        <w:rPr>
          <w:rFonts w:ascii="Calibri" w:eastAsia="PMingLiU" w:hAnsi="Calibri" w:cs="Arial"/>
          <w:b/>
          <w:szCs w:val="22"/>
          <w:lang w:val="fr-CA" w:eastAsia="en-GB"/>
        </w:rPr>
      </w:pPr>
    </w:p>
    <w:p w14:paraId="567C3D89" w14:textId="77777777" w:rsidR="002D5714" w:rsidRPr="002D5714" w:rsidRDefault="002D5714" w:rsidP="00900CD8">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Votre rôle</w:t>
      </w:r>
    </w:p>
    <w:p w14:paraId="7751891B" w14:textId="77777777" w:rsidR="002D5714" w:rsidRPr="002D5714" w:rsidRDefault="002D5714" w:rsidP="00900CD8">
      <w:pPr>
        <w:numPr>
          <w:ilvl w:val="0"/>
          <w:numId w:val="45"/>
        </w:numPr>
        <w:rPr>
          <w:rFonts w:ascii="Calibri" w:eastAsia="PMingLiU" w:hAnsi="Calibri" w:cs="Arial"/>
          <w:szCs w:val="22"/>
          <w:lang w:val="fr-CA" w:eastAsia="en-GB"/>
        </w:rPr>
      </w:pPr>
      <w:r w:rsidRPr="002D5714">
        <w:rPr>
          <w:rFonts w:ascii="Calibri" w:eastAsia="Times New Roman" w:hAnsi="Calibri" w:cs="Calibri"/>
          <w:b/>
          <w:bCs/>
          <w:lang w:val="fr-FR" w:eastAsia="en-GB"/>
        </w:rPr>
        <w:t>Surveiller</w:t>
      </w:r>
      <w:r w:rsidRPr="002D5714">
        <w:rPr>
          <w:rFonts w:ascii="Calibri" w:eastAsia="Times New Roman" w:hAnsi="Calibri" w:cs="Calibri"/>
          <w:lang w:val="fr-FR" w:eastAsia="en-GB"/>
        </w:rPr>
        <w:t xml:space="preserve"> l’état de santé de chacune des personnes qui se présente à votre point de passage, entrant ou sortant de Guinée.</w:t>
      </w:r>
    </w:p>
    <w:p w14:paraId="0E05D6EF" w14:textId="77777777" w:rsidR="002D5714" w:rsidRPr="002D5714" w:rsidRDefault="002D5714" w:rsidP="00900CD8">
      <w:pPr>
        <w:numPr>
          <w:ilvl w:val="1"/>
          <w:numId w:val="45"/>
        </w:numPr>
        <w:rPr>
          <w:rFonts w:ascii="Calibri" w:eastAsia="PMingLiU" w:hAnsi="Calibri" w:cs="Arial"/>
          <w:szCs w:val="22"/>
          <w:lang w:val="fr-CA" w:eastAsia="en-GB"/>
        </w:rPr>
      </w:pPr>
      <w:r w:rsidRPr="002D5714">
        <w:rPr>
          <w:rFonts w:ascii="Calibri" w:eastAsia="Times New Roman" w:hAnsi="Calibri" w:cs="Calibri"/>
          <w:lang w:val="fr-FR" w:eastAsia="en-GB"/>
        </w:rPr>
        <w:t>Demandez à ces personnes de quitter leur véhicule pour pouvoir les observer en train de marcher.</w:t>
      </w:r>
    </w:p>
    <w:p w14:paraId="1113478C" w14:textId="77777777" w:rsidR="002D5714" w:rsidRPr="002D5714" w:rsidRDefault="002D5714" w:rsidP="00900CD8">
      <w:pPr>
        <w:numPr>
          <w:ilvl w:val="1"/>
          <w:numId w:val="45"/>
        </w:numPr>
        <w:rPr>
          <w:rFonts w:ascii="Calibri" w:eastAsia="PMingLiU" w:hAnsi="Calibri" w:cs="Arial"/>
          <w:szCs w:val="22"/>
          <w:lang w:val="fr-CA" w:eastAsia="en-GB"/>
        </w:rPr>
      </w:pPr>
      <w:r w:rsidRPr="002D5714">
        <w:rPr>
          <w:rFonts w:ascii="Calibri" w:eastAsia="Times New Roman" w:hAnsi="Calibri" w:cs="Calibri"/>
          <w:lang w:val="fr-FR" w:eastAsia="en-GB"/>
        </w:rPr>
        <w:t>Demandez-leur de se laver les mains (en veillant à ce qu’il y ait du savon pour se laver les mains).</w:t>
      </w:r>
    </w:p>
    <w:p w14:paraId="2BAC8C98" w14:textId="77777777" w:rsidR="002D5714" w:rsidRPr="002D5714" w:rsidRDefault="002D5714" w:rsidP="00900CD8">
      <w:pPr>
        <w:numPr>
          <w:ilvl w:val="1"/>
          <w:numId w:val="45"/>
        </w:numPr>
        <w:rPr>
          <w:rFonts w:ascii="Calibri" w:eastAsia="PMingLiU" w:hAnsi="Calibri" w:cs="Arial"/>
          <w:szCs w:val="22"/>
          <w:lang w:val="en-GB" w:eastAsia="en-GB"/>
        </w:rPr>
      </w:pPr>
      <w:r w:rsidRPr="002D5714">
        <w:rPr>
          <w:rFonts w:ascii="Calibri" w:eastAsia="Times New Roman" w:hAnsi="Calibri" w:cs="Calibri"/>
          <w:lang w:val="fr-FR" w:eastAsia="en-GB"/>
        </w:rPr>
        <w:t xml:space="preserve">Prenez leur température. </w:t>
      </w:r>
    </w:p>
    <w:p w14:paraId="159A68AE" w14:textId="77777777" w:rsidR="002D5714" w:rsidRPr="002D5714" w:rsidRDefault="002D5714" w:rsidP="00900CD8">
      <w:pPr>
        <w:numPr>
          <w:ilvl w:val="1"/>
          <w:numId w:val="45"/>
        </w:numPr>
        <w:rPr>
          <w:rFonts w:ascii="Calibri" w:eastAsia="PMingLiU" w:hAnsi="Calibri" w:cs="Arial"/>
          <w:szCs w:val="22"/>
          <w:lang w:val="fr-CA" w:eastAsia="en-GB"/>
        </w:rPr>
      </w:pPr>
      <w:r w:rsidRPr="002D5714">
        <w:rPr>
          <w:rFonts w:ascii="Calibri" w:eastAsia="Times New Roman" w:hAnsi="Calibri" w:cs="Calibri"/>
          <w:lang w:val="fr-FR" w:eastAsia="en-GB"/>
        </w:rPr>
        <w:t xml:space="preserve">Documentez l’événement (inscrivez la date, le nom de la personne, sa température et d’où elle vient et où elle va). </w:t>
      </w:r>
    </w:p>
    <w:p w14:paraId="5FAE9D4C" w14:textId="77777777" w:rsidR="002D5714" w:rsidRPr="002D5714" w:rsidRDefault="002D5714" w:rsidP="00900CD8">
      <w:pPr>
        <w:numPr>
          <w:ilvl w:val="0"/>
          <w:numId w:val="45"/>
        </w:numPr>
        <w:rPr>
          <w:rFonts w:ascii="Calibri" w:eastAsia="PMingLiU" w:hAnsi="Calibri" w:cs="Arial"/>
          <w:szCs w:val="22"/>
          <w:lang w:val="fr-CA" w:eastAsia="en-GB"/>
        </w:rPr>
      </w:pPr>
      <w:r w:rsidRPr="002D5714">
        <w:rPr>
          <w:rFonts w:ascii="Calibri" w:eastAsia="Times New Roman" w:hAnsi="Calibri" w:cs="Calibri"/>
          <w:lang w:val="fr-FR" w:eastAsia="en-GB"/>
        </w:rPr>
        <w:t>Si la personne présente des symptômes, suivez l’organigramme des décisions fourni dans le présent guide.</w:t>
      </w:r>
    </w:p>
    <w:p w14:paraId="48D54E64" w14:textId="77777777" w:rsidR="002D5714" w:rsidRPr="002D5714" w:rsidRDefault="002D5714" w:rsidP="00900CD8">
      <w:pPr>
        <w:numPr>
          <w:ilvl w:val="0"/>
          <w:numId w:val="45"/>
        </w:numPr>
        <w:rPr>
          <w:rFonts w:ascii="Calibri" w:eastAsia="PMingLiU" w:hAnsi="Calibri" w:cs="Arial"/>
          <w:szCs w:val="22"/>
          <w:lang w:val="fr-CA" w:eastAsia="en-GB"/>
        </w:rPr>
      </w:pPr>
      <w:r w:rsidRPr="002D5714">
        <w:rPr>
          <w:rFonts w:ascii="Calibri" w:eastAsia="Times New Roman" w:hAnsi="Calibri" w:cs="Calibri"/>
          <w:lang w:val="fr-FR" w:eastAsia="en-GB"/>
        </w:rPr>
        <w:t xml:space="preserve">Si la personne ne présente pas de symptômes, </w:t>
      </w:r>
      <w:r w:rsidRPr="002D5714">
        <w:rPr>
          <w:rFonts w:ascii="Calibri" w:eastAsia="Times New Roman" w:hAnsi="Calibri" w:cs="Calibri"/>
          <w:b/>
          <w:bCs/>
          <w:u w:val="single"/>
          <w:lang w:val="fr-FR" w:eastAsia="en-GB"/>
        </w:rPr>
        <w:t xml:space="preserve">laissez-la passer. </w:t>
      </w:r>
    </w:p>
    <w:p w14:paraId="3A2D2DBE" w14:textId="77777777" w:rsidR="002D5714" w:rsidRPr="002D5714" w:rsidRDefault="002D5714" w:rsidP="00900CD8">
      <w:pPr>
        <w:rPr>
          <w:rFonts w:ascii="Calibri" w:eastAsia="PMingLiU" w:hAnsi="Calibri" w:cs="Arial"/>
          <w:b/>
          <w:szCs w:val="22"/>
          <w:lang w:val="fr-CA" w:eastAsia="en-GB"/>
        </w:rPr>
      </w:pPr>
    </w:p>
    <w:p w14:paraId="72409C93" w14:textId="77777777" w:rsidR="002D5714" w:rsidRPr="002D5714" w:rsidRDefault="002D5714" w:rsidP="00900CD8">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Vos responsabilités</w:t>
      </w:r>
    </w:p>
    <w:p w14:paraId="33C3A957" w14:textId="77777777" w:rsidR="002D5714" w:rsidRPr="002D5714" w:rsidRDefault="002D5714" w:rsidP="00900CD8">
      <w:pPr>
        <w:numPr>
          <w:ilvl w:val="0"/>
          <w:numId w:val="46"/>
        </w:numPr>
        <w:rPr>
          <w:rFonts w:ascii="Calibri" w:eastAsia="PMingLiU" w:hAnsi="Calibri" w:cs="Arial"/>
          <w:szCs w:val="22"/>
          <w:lang w:val="fr-CA" w:eastAsia="en-GB"/>
        </w:rPr>
      </w:pPr>
      <w:r w:rsidRPr="002D5714">
        <w:rPr>
          <w:rFonts w:ascii="Calibri" w:eastAsia="Times New Roman" w:hAnsi="Calibri" w:cs="Calibri"/>
          <w:lang w:val="fr-FR" w:eastAsia="en-GB"/>
        </w:rPr>
        <w:t xml:space="preserve">Protéger la Sierra Leone contre l’importation d’Ébola en provenance de la Guinée </w:t>
      </w:r>
    </w:p>
    <w:p w14:paraId="744444B2" w14:textId="77777777" w:rsidR="002D5714" w:rsidRPr="002D5714" w:rsidRDefault="002D5714" w:rsidP="00900CD8">
      <w:pPr>
        <w:numPr>
          <w:ilvl w:val="1"/>
          <w:numId w:val="46"/>
        </w:numPr>
        <w:rPr>
          <w:rFonts w:ascii="Calibri" w:eastAsia="PMingLiU" w:hAnsi="Calibri" w:cs="Arial"/>
          <w:szCs w:val="22"/>
          <w:lang w:val="fr-CA" w:eastAsia="en-GB"/>
        </w:rPr>
      </w:pPr>
      <w:r w:rsidRPr="002D5714">
        <w:rPr>
          <w:rFonts w:ascii="Calibri" w:eastAsia="Times New Roman" w:hAnsi="Calibri" w:cs="Calibri"/>
          <w:lang w:val="fr-FR" w:eastAsia="en-GB"/>
        </w:rPr>
        <w:t xml:space="preserve">S’assurer que </w:t>
      </w:r>
      <w:r w:rsidRPr="002D5714">
        <w:rPr>
          <w:rFonts w:ascii="Calibri" w:eastAsia="Times New Roman" w:hAnsi="Calibri" w:cs="Calibri"/>
          <w:b/>
          <w:bCs/>
          <w:lang w:val="fr-FR" w:eastAsia="en-GB"/>
        </w:rPr>
        <w:t>chaque personne</w:t>
      </w:r>
      <w:r w:rsidRPr="002D5714">
        <w:rPr>
          <w:rFonts w:ascii="Calibri" w:eastAsia="Times New Roman" w:hAnsi="Calibri" w:cs="Calibri"/>
          <w:lang w:val="fr-FR" w:eastAsia="en-GB"/>
        </w:rPr>
        <w:t xml:space="preserve"> qui passe la frontière soit surveillée</w:t>
      </w:r>
    </w:p>
    <w:p w14:paraId="7A0C558D" w14:textId="77777777" w:rsidR="002D5714" w:rsidRPr="002D5714" w:rsidRDefault="002D5714" w:rsidP="00900CD8">
      <w:pPr>
        <w:numPr>
          <w:ilvl w:val="1"/>
          <w:numId w:val="46"/>
        </w:numPr>
        <w:rPr>
          <w:rFonts w:ascii="Calibri" w:eastAsia="PMingLiU" w:hAnsi="Calibri" w:cs="Arial"/>
          <w:szCs w:val="22"/>
          <w:lang w:val="fr-CA" w:eastAsia="en-GB"/>
        </w:rPr>
      </w:pPr>
      <w:r w:rsidRPr="002D5714">
        <w:rPr>
          <w:rFonts w:ascii="Calibri" w:eastAsia="Times New Roman" w:hAnsi="Calibri" w:cs="Calibri"/>
          <w:lang w:val="fr-FR" w:eastAsia="en-GB"/>
        </w:rPr>
        <w:t xml:space="preserve"> S’assurer que </w:t>
      </w:r>
      <w:r w:rsidRPr="002D5714">
        <w:rPr>
          <w:rFonts w:ascii="Calibri" w:eastAsia="Times New Roman" w:hAnsi="Calibri" w:cs="Calibri"/>
          <w:b/>
          <w:bCs/>
          <w:lang w:val="fr-FR" w:eastAsia="en-GB"/>
        </w:rPr>
        <w:t>toutes les fournitures</w:t>
      </w:r>
      <w:r w:rsidRPr="002D5714">
        <w:rPr>
          <w:rFonts w:ascii="Calibri" w:eastAsia="Times New Roman" w:hAnsi="Calibri" w:cs="Calibri"/>
          <w:lang w:val="fr-FR" w:eastAsia="en-GB"/>
        </w:rPr>
        <w:t xml:space="preserve"> (poste d’eau [veronica bucket], savon, piles AAA, thermomètre, lampe solaire, téléphone pour cercle restreint d’utilisateurs [CRU], carnet de notes) sont prêtes</w:t>
      </w:r>
    </w:p>
    <w:p w14:paraId="463AE9D9" w14:textId="77777777" w:rsidR="002D5714" w:rsidRPr="002D5714" w:rsidRDefault="002D5714" w:rsidP="00900CD8">
      <w:pPr>
        <w:numPr>
          <w:ilvl w:val="0"/>
          <w:numId w:val="46"/>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Immédiatement </w:t>
      </w:r>
      <w:r w:rsidRPr="002D5714">
        <w:rPr>
          <w:rFonts w:ascii="Calibri" w:eastAsia="Times New Roman" w:hAnsi="Calibri" w:cs="Calibri"/>
          <w:b/>
          <w:bCs/>
          <w:lang w:val="fr-FR" w:eastAsia="en-GB"/>
        </w:rPr>
        <w:t>signaler</w:t>
      </w:r>
      <w:r w:rsidRPr="002D5714">
        <w:rPr>
          <w:rFonts w:ascii="Calibri" w:eastAsia="Times New Roman" w:hAnsi="Calibri" w:cs="Calibri"/>
          <w:lang w:val="fr-FR" w:eastAsia="en-GB"/>
        </w:rPr>
        <w:t xml:space="preserve"> toutes les alertes</w:t>
      </w:r>
      <w:r w:rsidRPr="002D5714">
        <w:rPr>
          <w:rFonts w:ascii="Calibri" w:eastAsia="Times New Roman" w:hAnsi="Calibri" w:cs="Calibri"/>
          <w:b/>
          <w:bCs/>
          <w:lang w:val="fr-FR" w:eastAsia="en-GB"/>
        </w:rPr>
        <w:t xml:space="preserve"> </w:t>
      </w:r>
      <w:r w:rsidRPr="002D5714">
        <w:rPr>
          <w:rFonts w:ascii="Calibri" w:eastAsia="Times New Roman" w:hAnsi="Calibri" w:cs="Calibri"/>
          <w:lang w:val="fr-FR" w:eastAsia="en-GB"/>
        </w:rPr>
        <w:t>au DERC</w:t>
      </w:r>
    </w:p>
    <w:p w14:paraId="5D2A0BC3" w14:textId="77777777" w:rsidR="002D5714" w:rsidRPr="002D5714" w:rsidRDefault="002D5714" w:rsidP="00900CD8">
      <w:pPr>
        <w:ind w:left="720"/>
        <w:contextualSpacing/>
        <w:rPr>
          <w:rFonts w:ascii="Calibri" w:eastAsia="PMingLiU" w:hAnsi="Calibri" w:cs="Arial"/>
          <w:b/>
          <w:szCs w:val="22"/>
          <w:lang w:val="fr-CA" w:eastAsia="en-GB"/>
        </w:rPr>
      </w:pPr>
    </w:p>
    <w:p w14:paraId="31122131" w14:textId="77777777" w:rsidR="002D5714" w:rsidRPr="002D5714" w:rsidRDefault="002D5714" w:rsidP="00900CD8">
      <w:pPr>
        <w:contextualSpacing/>
        <w:rPr>
          <w:rFonts w:ascii="Calibri" w:eastAsia="PMingLiU" w:hAnsi="Calibri" w:cs="Arial"/>
          <w:b/>
          <w:sz w:val="28"/>
          <w:szCs w:val="22"/>
          <w:lang w:val="fr-CA" w:eastAsia="en-GB"/>
        </w:rPr>
      </w:pPr>
      <w:r w:rsidRPr="002D5714">
        <w:rPr>
          <w:rFonts w:ascii="Calibri" w:eastAsia="Times New Roman" w:hAnsi="Calibri" w:cs="Calibri"/>
          <w:b/>
          <w:bCs/>
          <w:sz w:val="28"/>
          <w:szCs w:val="28"/>
          <w:lang w:val="fr-FR" w:eastAsia="en-GB"/>
        </w:rPr>
        <w:t>Qu’est-ce que la fièvre Ébola ?</w:t>
      </w:r>
    </w:p>
    <w:p w14:paraId="1F90171D" w14:textId="77777777" w:rsidR="002D5714" w:rsidRPr="002D5714" w:rsidRDefault="002D5714" w:rsidP="00900CD8">
      <w:pPr>
        <w:numPr>
          <w:ilvl w:val="0"/>
          <w:numId w:val="47"/>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La fièvre Ébola est une maladie grave causée par le virus Ébola</w:t>
      </w:r>
    </w:p>
    <w:p w14:paraId="75D383DB" w14:textId="77777777" w:rsidR="002D5714" w:rsidRPr="002D5714" w:rsidRDefault="002D5714" w:rsidP="00900CD8">
      <w:pPr>
        <w:numPr>
          <w:ilvl w:val="0"/>
          <w:numId w:val="47"/>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Elle peut sévir dans toute l’Afrique, mais actuellement, nous savons qu’elle est présente à la Sierra Leone, au Liberia et en Guinée.</w:t>
      </w:r>
    </w:p>
    <w:p w14:paraId="4E765DF8" w14:textId="77777777" w:rsidR="002D5714" w:rsidRPr="002D5714" w:rsidRDefault="002D5714" w:rsidP="00900CD8">
      <w:pPr>
        <w:numPr>
          <w:ilvl w:val="0"/>
          <w:numId w:val="47"/>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Cette flambée est la plus étendue jamais enregistrée jusqu’ici et pour la première fois en Afrique de l’Ouest.</w:t>
      </w:r>
    </w:p>
    <w:p w14:paraId="2DFFE536" w14:textId="77777777" w:rsidR="002D5714" w:rsidRPr="002D5714" w:rsidRDefault="002D5714" w:rsidP="00900CD8">
      <w:pPr>
        <w:numPr>
          <w:ilvl w:val="0"/>
          <w:numId w:val="47"/>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Le virus Ébola peut être transmis par des animaux sauvages (gorilles, chimpanzés, porcs, chauve-souris, singes) aux humains. </w:t>
      </w:r>
    </w:p>
    <w:p w14:paraId="4D091498" w14:textId="77777777" w:rsidR="002D5714" w:rsidRPr="002D5714" w:rsidRDefault="002D5714" w:rsidP="00900CD8">
      <w:pPr>
        <w:numPr>
          <w:ilvl w:val="0"/>
          <w:numId w:val="47"/>
        </w:numPr>
        <w:contextualSpacing/>
        <w:rPr>
          <w:rFonts w:ascii="Calibri" w:eastAsia="PMingLiU" w:hAnsi="Calibri" w:cs="Arial"/>
          <w:b/>
          <w:sz w:val="16"/>
          <w:szCs w:val="22"/>
          <w:lang w:val="fr-CA" w:eastAsia="en-GB"/>
        </w:rPr>
      </w:pPr>
      <w:r w:rsidRPr="002D5714">
        <w:rPr>
          <w:rFonts w:ascii="Calibri" w:eastAsia="Times New Roman" w:hAnsi="Calibri" w:cs="Calibri"/>
          <w:lang w:val="fr-FR" w:eastAsia="en-GB"/>
        </w:rPr>
        <w:t xml:space="preserve">Il est transmissible de personne à personne, par contact direct avec : sang, urine, matières fécales, vomis, salive, sueur, lait maternel, sperme, organes. </w:t>
      </w:r>
    </w:p>
    <w:p w14:paraId="7067EC19" w14:textId="77777777" w:rsidR="002D5714" w:rsidRPr="002D5714" w:rsidRDefault="002D5714" w:rsidP="00900CD8">
      <w:pPr>
        <w:ind w:left="360"/>
        <w:contextualSpacing/>
        <w:rPr>
          <w:rFonts w:ascii="Calibri" w:eastAsia="PMingLiU" w:hAnsi="Calibri" w:cs="Arial"/>
          <w:b/>
          <w:sz w:val="16"/>
          <w:szCs w:val="22"/>
          <w:lang w:val="fr-CA" w:eastAsia="en-GB"/>
        </w:rPr>
      </w:pPr>
    </w:p>
    <w:p w14:paraId="5DD975F7" w14:textId="77777777" w:rsidR="002D5714" w:rsidRPr="002D5714" w:rsidRDefault="002D5714" w:rsidP="00900CD8">
      <w:pPr>
        <w:rPr>
          <w:rFonts w:ascii="Calibri" w:eastAsia="PMingLiU" w:hAnsi="Calibri" w:cs="Arial"/>
          <w:b/>
          <w:sz w:val="28"/>
          <w:szCs w:val="22"/>
          <w:lang w:val="fr-CA" w:eastAsia="en-GB"/>
        </w:rPr>
      </w:pPr>
      <w:r w:rsidRPr="002D5714">
        <w:rPr>
          <w:rFonts w:ascii="Calibri" w:eastAsia="Times New Roman" w:hAnsi="Calibri" w:cs="Calibri"/>
          <w:b/>
          <w:bCs/>
          <w:sz w:val="28"/>
          <w:szCs w:val="28"/>
          <w:lang w:val="fr-FR" w:eastAsia="en-GB"/>
        </w:rPr>
        <w:t>Comment la transmission se réalise-t-elle ?</w:t>
      </w:r>
    </w:p>
    <w:p w14:paraId="7A8F5A5F" w14:textId="77777777" w:rsidR="002D5714" w:rsidRPr="002D5714" w:rsidRDefault="002D5714" w:rsidP="00900CD8">
      <w:pPr>
        <w:numPr>
          <w:ilvl w:val="0"/>
          <w:numId w:val="48"/>
        </w:numPr>
        <w:rPr>
          <w:rFonts w:ascii="Calibri" w:eastAsia="PMingLiU" w:hAnsi="Calibri" w:cs="Arial"/>
          <w:szCs w:val="22"/>
          <w:lang w:val="fr-CA" w:eastAsia="en-GB"/>
        </w:rPr>
      </w:pPr>
      <w:r w:rsidRPr="002D5714">
        <w:rPr>
          <w:rFonts w:ascii="Calibri" w:eastAsia="Times New Roman" w:hAnsi="Calibri" w:cs="Calibri"/>
          <w:b/>
          <w:bCs/>
          <w:lang w:val="fr-FR" w:eastAsia="en-GB"/>
        </w:rPr>
        <w:t>Par la manipulation d’animaux infectés (malades ou morts)</w:t>
      </w:r>
    </w:p>
    <w:p w14:paraId="688ADFF3" w14:textId="77777777" w:rsidR="002D5714" w:rsidRPr="002D5714" w:rsidRDefault="002D5714" w:rsidP="00900CD8">
      <w:pPr>
        <w:numPr>
          <w:ilvl w:val="1"/>
          <w:numId w:val="48"/>
        </w:numPr>
        <w:rPr>
          <w:rFonts w:ascii="Calibri" w:eastAsia="PMingLiU" w:hAnsi="Calibri" w:cs="Arial"/>
          <w:szCs w:val="22"/>
          <w:lang w:val="fr-CA" w:eastAsia="en-GB"/>
        </w:rPr>
      </w:pPr>
      <w:r w:rsidRPr="002D5714">
        <w:rPr>
          <w:rFonts w:ascii="Calibri" w:eastAsia="Times New Roman" w:hAnsi="Calibri" w:cs="Calibri"/>
          <w:lang w:val="fr-FR" w:eastAsia="en-GB"/>
        </w:rPr>
        <w:t>Chimpanzés, gorilles, chauve-souris roussettes, singes, antilopes des forêts et porcs-épics</w:t>
      </w:r>
    </w:p>
    <w:p w14:paraId="32BE6DA1" w14:textId="77777777" w:rsidR="002D5714" w:rsidRPr="002D5714" w:rsidRDefault="002D5714" w:rsidP="00900CD8">
      <w:pPr>
        <w:numPr>
          <w:ilvl w:val="0"/>
          <w:numId w:val="48"/>
        </w:numPr>
        <w:rPr>
          <w:rFonts w:ascii="Calibri" w:eastAsia="PMingLiU" w:hAnsi="Calibri" w:cs="Arial"/>
          <w:szCs w:val="22"/>
          <w:lang w:val="fr-CA" w:eastAsia="en-GB"/>
        </w:rPr>
      </w:pPr>
      <w:r w:rsidRPr="002D5714">
        <w:rPr>
          <w:rFonts w:ascii="Calibri" w:eastAsia="Times New Roman" w:hAnsi="Calibri" w:cs="Calibri"/>
          <w:b/>
          <w:bCs/>
          <w:lang w:val="fr-FR" w:eastAsia="en-GB"/>
        </w:rPr>
        <w:t xml:space="preserve">Communautés (contact avec des corps infectés) </w:t>
      </w:r>
    </w:p>
    <w:p w14:paraId="4E809919" w14:textId="77777777" w:rsidR="002D5714" w:rsidRPr="002D5714" w:rsidRDefault="002D5714" w:rsidP="00900CD8">
      <w:pPr>
        <w:numPr>
          <w:ilvl w:val="1"/>
          <w:numId w:val="48"/>
        </w:numPr>
        <w:rPr>
          <w:rFonts w:ascii="Calibri" w:eastAsia="PMingLiU" w:hAnsi="Calibri" w:cs="Arial"/>
          <w:szCs w:val="22"/>
          <w:lang w:val="fr-CA" w:eastAsia="en-GB"/>
        </w:rPr>
      </w:pPr>
      <w:r w:rsidRPr="002D5714">
        <w:rPr>
          <w:rFonts w:ascii="Calibri" w:eastAsia="Times New Roman" w:hAnsi="Calibri" w:cs="Calibri"/>
          <w:lang w:val="fr-FR" w:eastAsia="en-GB"/>
        </w:rPr>
        <w:t>Contacts en soignant des personnes malades ou en prenant soin des corps de patients décédés par des pratiques funéraires et des funérailles non sécurisées (contact de personne à personne)</w:t>
      </w:r>
    </w:p>
    <w:p w14:paraId="367E253B" w14:textId="77777777" w:rsidR="002D5714" w:rsidRPr="002D5714" w:rsidRDefault="002D5714" w:rsidP="00900CD8">
      <w:pPr>
        <w:numPr>
          <w:ilvl w:val="1"/>
          <w:numId w:val="48"/>
        </w:numPr>
        <w:rPr>
          <w:rFonts w:ascii="Calibri" w:eastAsia="PMingLiU" w:hAnsi="Calibri" w:cs="Arial"/>
          <w:szCs w:val="22"/>
          <w:lang w:val="fr-CA" w:eastAsia="en-GB"/>
        </w:rPr>
      </w:pPr>
      <w:r w:rsidRPr="002D5714">
        <w:rPr>
          <w:rFonts w:ascii="Calibri" w:eastAsia="Times New Roman" w:hAnsi="Calibri" w:cs="Calibri"/>
          <w:lang w:val="fr-FR" w:eastAsia="en-GB"/>
        </w:rPr>
        <w:t>Contact indirect avec des environnements contaminés par des fluides</w:t>
      </w:r>
    </w:p>
    <w:p w14:paraId="20671769" w14:textId="77777777" w:rsidR="002D5714" w:rsidRPr="002D5714" w:rsidRDefault="002D5714" w:rsidP="00900CD8">
      <w:pPr>
        <w:numPr>
          <w:ilvl w:val="0"/>
          <w:numId w:val="48"/>
        </w:numPr>
        <w:rPr>
          <w:rFonts w:ascii="Calibri" w:eastAsia="PMingLiU" w:hAnsi="Calibri" w:cs="Arial"/>
          <w:szCs w:val="22"/>
          <w:lang w:eastAsia="en-GB"/>
        </w:rPr>
      </w:pPr>
      <w:r w:rsidRPr="002D5714">
        <w:rPr>
          <w:rFonts w:ascii="Calibri" w:eastAsia="Times New Roman" w:hAnsi="Calibri" w:cs="Calibri"/>
          <w:b/>
          <w:bCs/>
          <w:lang w:val="fr-FR" w:eastAsia="en-GB"/>
        </w:rPr>
        <w:t>Hôpital </w:t>
      </w:r>
    </w:p>
    <w:p w14:paraId="2DF9DBDB" w14:textId="77777777" w:rsidR="002D5714" w:rsidRPr="002D5714" w:rsidRDefault="002D5714" w:rsidP="00900CD8">
      <w:pPr>
        <w:numPr>
          <w:ilvl w:val="1"/>
          <w:numId w:val="48"/>
        </w:numPr>
        <w:rPr>
          <w:rFonts w:ascii="Calibri" w:eastAsia="PMingLiU" w:hAnsi="Calibri" w:cs="Arial"/>
          <w:szCs w:val="22"/>
          <w:lang w:eastAsia="en-GB"/>
        </w:rPr>
      </w:pPr>
      <w:r w:rsidRPr="002D5714">
        <w:rPr>
          <w:rFonts w:ascii="Calibri" w:eastAsia="Times New Roman" w:hAnsi="Calibri" w:cs="Calibri"/>
          <w:lang w:val="fr-FR" w:eastAsia="en-GB"/>
        </w:rPr>
        <w:t>Aiguilles, seringues, matériel contaminé</w:t>
      </w:r>
    </w:p>
    <w:p w14:paraId="657429B0" w14:textId="77777777" w:rsidR="002D5714" w:rsidRPr="002D5714" w:rsidRDefault="002D5714" w:rsidP="00900CD8">
      <w:pPr>
        <w:numPr>
          <w:ilvl w:val="1"/>
          <w:numId w:val="48"/>
        </w:numPr>
        <w:rPr>
          <w:rFonts w:ascii="Calibri" w:eastAsia="PMingLiU" w:hAnsi="Calibri" w:cs="Arial"/>
          <w:szCs w:val="22"/>
          <w:lang w:val="fr-CA" w:eastAsia="en-GB"/>
        </w:rPr>
      </w:pPr>
      <w:r w:rsidRPr="002D5714">
        <w:rPr>
          <w:rFonts w:ascii="Calibri" w:eastAsia="Times New Roman" w:hAnsi="Calibri" w:cs="Calibri"/>
          <w:lang w:val="fr-FR" w:eastAsia="en-GB"/>
        </w:rPr>
        <w:t xml:space="preserve">Consultation avec des patients sans conformité aux mesures de prévention et de contrôle des infections (PCI) </w:t>
      </w:r>
    </w:p>
    <w:p w14:paraId="34702991" w14:textId="77777777" w:rsidR="002D5714" w:rsidRPr="002D5714" w:rsidRDefault="002D5714" w:rsidP="00900CD8">
      <w:pPr>
        <w:rPr>
          <w:rFonts w:ascii="Calibri" w:eastAsia="PMingLiU" w:hAnsi="Calibri" w:cs="Arial"/>
          <w:szCs w:val="22"/>
          <w:lang w:val="fr-CA" w:eastAsia="en-GB"/>
        </w:rPr>
      </w:pPr>
    </w:p>
    <w:tbl>
      <w:tblPr>
        <w:tblW w:w="0" w:type="auto"/>
        <w:tblLook w:val="00A0" w:firstRow="1" w:lastRow="0" w:firstColumn="1" w:lastColumn="0" w:noHBand="0" w:noVBand="0"/>
      </w:tblPr>
      <w:tblGrid>
        <w:gridCol w:w="6666"/>
      </w:tblGrid>
      <w:tr w:rsidR="002D5714" w:rsidRPr="002D5714" w14:paraId="29AA3261" w14:textId="77777777" w:rsidTr="00152112">
        <w:tc>
          <w:tcPr>
            <w:tcW w:w="5089" w:type="dxa"/>
            <w:hideMark/>
          </w:tcPr>
          <w:p w14:paraId="4DF77757" w14:textId="77777777" w:rsidR="002D5714" w:rsidRPr="002D5714" w:rsidRDefault="002D5714">
            <w:pPr>
              <w:contextualSpacing/>
              <w:rPr>
                <w:rFonts w:ascii="Calibri" w:eastAsia="PMingLiU" w:hAnsi="Calibri" w:cs="Arial"/>
                <w:b/>
                <w:szCs w:val="22"/>
                <w:lang w:val="en-GB" w:eastAsia="en-GB"/>
              </w:rPr>
            </w:pPr>
            <w:r w:rsidRPr="002D5714">
              <w:rPr>
                <w:rFonts w:ascii="Calibri" w:eastAsia="PMingLiU" w:hAnsi="Calibri" w:cs="Arial"/>
                <w:b/>
                <w:noProof/>
                <w:szCs w:val="22"/>
              </w:rPr>
              <w:drawing>
                <wp:inline distT="0" distB="0" distL="0" distR="0" wp14:anchorId="028583B4" wp14:editId="571A3BB3">
                  <wp:extent cx="4095750" cy="201930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b="25812"/>
                          <a:stretch>
                            <a:fillRect/>
                          </a:stretch>
                        </pic:blipFill>
                        <pic:spPr bwMode="auto">
                          <a:xfrm>
                            <a:off x="0" y="0"/>
                            <a:ext cx="4095750" cy="2019300"/>
                          </a:xfrm>
                          <a:prstGeom prst="rect">
                            <a:avLst/>
                          </a:prstGeom>
                          <a:noFill/>
                          <a:ln>
                            <a:noFill/>
                          </a:ln>
                        </pic:spPr>
                      </pic:pic>
                    </a:graphicData>
                  </a:graphic>
                </wp:inline>
              </w:drawing>
            </w:r>
          </w:p>
        </w:tc>
      </w:tr>
    </w:tbl>
    <w:p w14:paraId="015B6AB0" w14:textId="77777777" w:rsidR="002D5714" w:rsidRPr="002D5714" w:rsidRDefault="002D5714" w:rsidP="00900CD8">
      <w:pPr>
        <w:contextualSpacing/>
        <w:rPr>
          <w:rFonts w:ascii="Calibri" w:eastAsia="PMingLiU" w:hAnsi="Calibri" w:cs="Arial"/>
          <w:b/>
          <w:szCs w:val="22"/>
          <w:lang w:val="en-GB" w:eastAsia="en-GB"/>
        </w:rPr>
      </w:pPr>
    </w:p>
    <w:p w14:paraId="2B18A54D" w14:textId="77777777" w:rsidR="002D5714" w:rsidRPr="002D5714" w:rsidRDefault="002D5714" w:rsidP="00900CD8">
      <w:pPr>
        <w:contextualSpacing/>
        <w:rPr>
          <w:rFonts w:ascii="Calibri" w:eastAsia="PMingLiU" w:hAnsi="Calibri" w:cs="Arial"/>
          <w:b/>
          <w:szCs w:val="22"/>
          <w:lang w:val="en-GB" w:eastAsia="en-GB"/>
        </w:rPr>
      </w:pPr>
    </w:p>
    <w:p w14:paraId="6B8A39C3" w14:textId="77777777" w:rsidR="002D5714" w:rsidRPr="002D5714" w:rsidRDefault="002D5714" w:rsidP="00900CD8">
      <w:pPr>
        <w:contextualSpacing/>
        <w:rPr>
          <w:rFonts w:ascii="Calibri" w:eastAsia="PMingLiU" w:hAnsi="Calibri" w:cs="Arial"/>
          <w:b/>
          <w:szCs w:val="22"/>
          <w:lang w:val="en-GB" w:eastAsia="en-GB"/>
        </w:rPr>
      </w:pPr>
    </w:p>
    <w:p w14:paraId="30D6DB6C" w14:textId="77777777" w:rsidR="002D5714" w:rsidRPr="002D5714" w:rsidRDefault="002D5714" w:rsidP="00900CD8">
      <w:pPr>
        <w:contextualSpacing/>
        <w:rPr>
          <w:rFonts w:ascii="Calibri" w:eastAsia="PMingLiU" w:hAnsi="Calibri" w:cs="Arial"/>
          <w:b/>
          <w:sz w:val="28"/>
          <w:szCs w:val="22"/>
          <w:lang w:val="fr-CA" w:eastAsia="en-GB"/>
        </w:rPr>
      </w:pPr>
      <w:r w:rsidRPr="002D5714">
        <w:rPr>
          <w:rFonts w:ascii="Calibri" w:eastAsia="Times New Roman" w:hAnsi="Calibri" w:cs="Calibri"/>
          <w:b/>
          <w:bCs/>
          <w:sz w:val="28"/>
          <w:szCs w:val="28"/>
          <w:lang w:val="fr-FR" w:eastAsia="en-GB"/>
        </w:rPr>
        <w:t>Signes et symptômes de la fièvre Ébola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1"/>
        <w:gridCol w:w="4010"/>
      </w:tblGrid>
      <w:tr w:rsidR="002D5714" w:rsidRPr="002D5714" w14:paraId="33FD3810" w14:textId="77777777" w:rsidTr="00152112">
        <w:tc>
          <w:tcPr>
            <w:tcW w:w="0" w:type="auto"/>
            <w:tcBorders>
              <w:top w:val="single" w:sz="4" w:space="0" w:color="auto"/>
              <w:left w:val="single" w:sz="4" w:space="0" w:color="auto"/>
              <w:bottom w:val="single" w:sz="4" w:space="0" w:color="auto"/>
              <w:right w:val="single" w:sz="4" w:space="0" w:color="auto"/>
            </w:tcBorders>
            <w:hideMark/>
          </w:tcPr>
          <w:p w14:paraId="3DAC9DC5" w14:textId="77777777" w:rsidR="002D5714" w:rsidRPr="002D5714" w:rsidRDefault="002D5714">
            <w:pPr>
              <w:contextualSpacing/>
              <w:rPr>
                <w:rFonts w:ascii="Calibri" w:eastAsia="PMingLiU" w:hAnsi="Calibri" w:cs="Arial"/>
                <w:szCs w:val="22"/>
                <w:lang w:eastAsia="en-GB"/>
              </w:rPr>
            </w:pPr>
            <w:r w:rsidRPr="002D5714">
              <w:rPr>
                <w:rFonts w:ascii="Calibri" w:eastAsia="Times New Roman" w:hAnsi="Calibri" w:cs="Calibri"/>
                <w:b/>
                <w:bCs/>
                <w:lang w:val="fr-FR" w:eastAsia="en-GB"/>
              </w:rPr>
              <w:t>Symptômes de nature générale</w:t>
            </w:r>
            <w:r w:rsidRPr="002D5714">
              <w:rPr>
                <w:rFonts w:ascii="Calibri" w:eastAsia="Times New Roman" w:hAnsi="Calibri" w:cs="Calibri"/>
                <w:lang w:val="fr-FR" w:eastAsia="en-GB"/>
              </w:rPr>
              <w:t> :</w:t>
            </w:r>
          </w:p>
          <w:p w14:paraId="222D58BF"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Fièvre soudaine</w:t>
            </w:r>
          </w:p>
          <w:p w14:paraId="40B26A7C"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Faiblesse intense</w:t>
            </w:r>
          </w:p>
          <w:p w14:paraId="17ABDB62"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Maux de tête</w:t>
            </w:r>
          </w:p>
          <w:p w14:paraId="370C0B41"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Douleurs musculaires</w:t>
            </w:r>
          </w:p>
          <w:p w14:paraId="64188F7B"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Maux de gorge</w:t>
            </w:r>
          </w:p>
          <w:p w14:paraId="1D455DD8"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Conjonctivite</w:t>
            </w:r>
          </w:p>
          <w:p w14:paraId="092DDA20"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Nausée et anorexie</w:t>
            </w:r>
          </w:p>
          <w:p w14:paraId="3F15A902"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Gorge douloureuse</w:t>
            </w:r>
          </w:p>
          <w:p w14:paraId="3D019216" w14:textId="77777777" w:rsidR="002D5714" w:rsidRPr="002D5714" w:rsidRDefault="002D5714" w:rsidP="00900CD8">
            <w:pPr>
              <w:numPr>
                <w:ilvl w:val="0"/>
                <w:numId w:val="49"/>
              </w:numPr>
              <w:contextualSpacing/>
              <w:rPr>
                <w:rFonts w:ascii="Calibri" w:eastAsia="PMingLiU" w:hAnsi="Calibri" w:cs="Arial"/>
                <w:szCs w:val="22"/>
                <w:lang w:eastAsia="en-GB"/>
              </w:rPr>
            </w:pPr>
            <w:r w:rsidRPr="002D5714">
              <w:rPr>
                <w:rFonts w:ascii="Calibri" w:eastAsia="Times New Roman" w:hAnsi="Calibri" w:cs="Calibri"/>
                <w:lang w:val="fr-FR" w:eastAsia="en-GB"/>
              </w:rPr>
              <w:t>Douleurs abdominales</w:t>
            </w:r>
          </w:p>
        </w:tc>
        <w:tc>
          <w:tcPr>
            <w:tcW w:w="0" w:type="auto"/>
            <w:tcBorders>
              <w:top w:val="single" w:sz="4" w:space="0" w:color="auto"/>
              <w:left w:val="single" w:sz="4" w:space="0" w:color="auto"/>
              <w:bottom w:val="single" w:sz="4" w:space="0" w:color="auto"/>
              <w:right w:val="single" w:sz="4" w:space="0" w:color="auto"/>
            </w:tcBorders>
            <w:hideMark/>
          </w:tcPr>
          <w:p w14:paraId="004E201A" w14:textId="77777777" w:rsidR="002D5714" w:rsidRPr="002D5714" w:rsidRDefault="002D5714">
            <w:pPr>
              <w:contextualSpacing/>
              <w:rPr>
                <w:rFonts w:ascii="Calibri" w:eastAsia="PMingLiU" w:hAnsi="Calibri" w:cs="Arial"/>
                <w:szCs w:val="22"/>
                <w:lang w:val="fr-CA" w:eastAsia="en-GB"/>
              </w:rPr>
            </w:pPr>
            <w:r w:rsidRPr="002D5714">
              <w:rPr>
                <w:rFonts w:ascii="Calibri" w:eastAsia="Times New Roman" w:hAnsi="Calibri" w:cs="Calibri"/>
                <w:b/>
                <w:bCs/>
                <w:lang w:val="fr-FR" w:eastAsia="en-GB"/>
              </w:rPr>
              <w:t>Ceux-ci sont souvent suivis de</w:t>
            </w:r>
            <w:r w:rsidRPr="002D5714">
              <w:rPr>
                <w:rFonts w:ascii="Calibri" w:eastAsia="Times New Roman" w:hAnsi="Calibri" w:cs="Calibri"/>
                <w:lang w:val="fr-FR" w:eastAsia="en-GB"/>
              </w:rPr>
              <w:t xml:space="preserve"> : </w:t>
            </w:r>
          </w:p>
          <w:p w14:paraId="50322B35"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Douleurs thoraciques</w:t>
            </w:r>
          </w:p>
          <w:p w14:paraId="2FB07F13"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Diarrhée (aqueuse ou sanguinolente)</w:t>
            </w:r>
          </w:p>
          <w:p w14:paraId="2107D691"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 xml:space="preserve">Vomissements (parfois sanguinolents) </w:t>
            </w:r>
          </w:p>
          <w:p w14:paraId="44BF4A46"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Éruption cutanée</w:t>
            </w:r>
          </w:p>
          <w:p w14:paraId="799131D9"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Confusion et irritabilité</w:t>
            </w:r>
          </w:p>
          <w:p w14:paraId="52324A8A" w14:textId="77777777" w:rsidR="002D5714" w:rsidRPr="002D5714" w:rsidRDefault="002D5714" w:rsidP="00900CD8">
            <w:pPr>
              <w:numPr>
                <w:ilvl w:val="0"/>
                <w:numId w:val="50"/>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Saignement des yeux, des oreilles, du nez </w:t>
            </w:r>
          </w:p>
          <w:p w14:paraId="6E6281F2" w14:textId="77777777" w:rsidR="002D5714" w:rsidRPr="002D5714" w:rsidRDefault="002D5714" w:rsidP="00900CD8">
            <w:pPr>
              <w:numPr>
                <w:ilvl w:val="0"/>
                <w:numId w:val="50"/>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Dégradation des fonctions du foie et des reins</w:t>
            </w:r>
          </w:p>
          <w:p w14:paraId="54201DBE"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Avortement</w:t>
            </w:r>
          </w:p>
          <w:p w14:paraId="6F21F363"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Choc</w:t>
            </w:r>
          </w:p>
          <w:p w14:paraId="0483165A" w14:textId="77777777" w:rsidR="002D5714" w:rsidRPr="002D5714" w:rsidRDefault="002D5714" w:rsidP="00900CD8">
            <w:pPr>
              <w:numPr>
                <w:ilvl w:val="0"/>
                <w:numId w:val="50"/>
              </w:numPr>
              <w:contextualSpacing/>
              <w:rPr>
                <w:rFonts w:ascii="Calibri" w:eastAsia="PMingLiU" w:hAnsi="Calibri" w:cs="Arial"/>
                <w:szCs w:val="22"/>
                <w:lang w:eastAsia="en-GB"/>
              </w:rPr>
            </w:pPr>
            <w:r w:rsidRPr="002D5714">
              <w:rPr>
                <w:rFonts w:ascii="Calibri" w:eastAsia="Times New Roman" w:hAnsi="Calibri" w:cs="Calibri"/>
                <w:lang w:val="fr-FR" w:eastAsia="en-GB"/>
              </w:rPr>
              <w:t xml:space="preserve">Décès </w:t>
            </w:r>
          </w:p>
        </w:tc>
      </w:tr>
    </w:tbl>
    <w:p w14:paraId="145C8E97" w14:textId="77777777" w:rsidR="002D5714" w:rsidRPr="002D5714" w:rsidRDefault="002D5714" w:rsidP="00900CD8">
      <w:pPr>
        <w:contextualSpacing/>
        <w:rPr>
          <w:rFonts w:ascii="Calibri" w:eastAsia="PMingLiU" w:hAnsi="Calibri" w:cs="Arial"/>
          <w:szCs w:val="22"/>
          <w:lang w:val="en-GB" w:eastAsia="en-GB"/>
        </w:rPr>
      </w:pPr>
    </w:p>
    <w:p w14:paraId="3DD6E2FD" w14:textId="77777777" w:rsidR="002D5714" w:rsidRPr="002D5714" w:rsidRDefault="002D5714" w:rsidP="00900CD8">
      <w:pPr>
        <w:contextualSpacing/>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Traitement</w:t>
      </w:r>
    </w:p>
    <w:p w14:paraId="77CEDD39" w14:textId="77777777" w:rsidR="002D5714" w:rsidRPr="002D5714" w:rsidRDefault="002D5714" w:rsidP="00900CD8">
      <w:pPr>
        <w:numPr>
          <w:ilvl w:val="0"/>
          <w:numId w:val="51"/>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Il n’existe ni cure ni traitement contre la fièvre Ébola.</w:t>
      </w:r>
    </w:p>
    <w:p w14:paraId="5609C153" w14:textId="77777777" w:rsidR="002D5714" w:rsidRPr="002D5714" w:rsidRDefault="002D5714" w:rsidP="00900CD8">
      <w:pPr>
        <w:numPr>
          <w:ilvl w:val="0"/>
          <w:numId w:val="51"/>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Les soins intensifs (réhydratation par voie orale et IV) sont le seul traitement disponible pour les patients et peuvent avoir un effet positif sur les résultats.</w:t>
      </w:r>
    </w:p>
    <w:p w14:paraId="4F4A8377" w14:textId="77777777" w:rsidR="002D5714" w:rsidRPr="002D5714" w:rsidRDefault="002D5714" w:rsidP="00900CD8">
      <w:pPr>
        <w:numPr>
          <w:ilvl w:val="0"/>
          <w:numId w:val="51"/>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De nouveaux médicaments et vaccins sont en cours de développement dans des laboratoires, mais ils ne sont pas encore prêts pour être utilisés par le public. </w:t>
      </w:r>
    </w:p>
    <w:p w14:paraId="78A23ECC" w14:textId="77777777" w:rsidR="002D5714" w:rsidRPr="002D5714" w:rsidRDefault="002D5714" w:rsidP="00900CD8">
      <w:pPr>
        <w:ind w:left="720"/>
        <w:contextualSpacing/>
        <w:rPr>
          <w:rFonts w:ascii="Calibri" w:eastAsia="Times New Roman" w:hAnsi="Calibri" w:cs="Calibri"/>
          <w:lang w:val="fr-FR" w:eastAsia="en-GB"/>
        </w:rPr>
      </w:pPr>
    </w:p>
    <w:p w14:paraId="03501EC2" w14:textId="77777777" w:rsidR="002D5714" w:rsidRPr="002D5714" w:rsidRDefault="002D5714" w:rsidP="00900CD8">
      <w:pPr>
        <w:ind w:left="720"/>
        <w:contextualSpacing/>
        <w:rPr>
          <w:rFonts w:ascii="Calibri" w:eastAsia="Times New Roman" w:hAnsi="Calibri" w:cs="Calibri"/>
          <w:lang w:val="fr-FR" w:eastAsia="en-GB"/>
        </w:rPr>
      </w:pPr>
    </w:p>
    <w:p w14:paraId="33B8BBB0" w14:textId="77777777" w:rsidR="002D5714" w:rsidRPr="002D5714" w:rsidRDefault="002D5714" w:rsidP="00900CD8">
      <w:pPr>
        <w:ind w:left="720"/>
        <w:contextualSpacing/>
        <w:rPr>
          <w:rFonts w:ascii="Calibri" w:eastAsia="Times New Roman" w:hAnsi="Calibri" w:cs="Calibri"/>
          <w:lang w:val="fr-FR" w:eastAsia="en-GB"/>
        </w:rPr>
      </w:pPr>
    </w:p>
    <w:p w14:paraId="51052628" w14:textId="77777777" w:rsidR="002D5714" w:rsidRPr="002D5714" w:rsidRDefault="002D5714" w:rsidP="00900CD8">
      <w:pPr>
        <w:ind w:left="720"/>
        <w:contextualSpacing/>
        <w:rPr>
          <w:rFonts w:ascii="Calibri" w:eastAsia="Times New Roman" w:hAnsi="Calibri" w:cs="Calibri"/>
          <w:lang w:val="fr-FR" w:eastAsia="en-GB"/>
        </w:rPr>
      </w:pPr>
    </w:p>
    <w:p w14:paraId="4D95A77E" w14:textId="77777777" w:rsidR="002D5714" w:rsidRPr="002D5714" w:rsidRDefault="002D5714" w:rsidP="00900CD8">
      <w:pPr>
        <w:ind w:left="720"/>
        <w:contextualSpacing/>
        <w:rPr>
          <w:rFonts w:ascii="Calibri" w:eastAsia="Times New Roman" w:hAnsi="Calibri" w:cs="Calibri"/>
          <w:lang w:val="fr-FR" w:eastAsia="en-GB"/>
        </w:rPr>
      </w:pPr>
    </w:p>
    <w:p w14:paraId="01477A3F" w14:textId="77777777" w:rsidR="002D5714" w:rsidRPr="002D5714" w:rsidRDefault="002D5714" w:rsidP="00900CD8">
      <w:pPr>
        <w:ind w:left="720"/>
        <w:contextualSpacing/>
        <w:rPr>
          <w:rFonts w:ascii="Calibri" w:eastAsia="Times New Roman" w:hAnsi="Calibri" w:cs="Calibri"/>
          <w:lang w:val="fr-FR" w:eastAsia="en-GB"/>
        </w:rPr>
      </w:pPr>
    </w:p>
    <w:p w14:paraId="2E2984D3" w14:textId="77777777" w:rsidR="002D5714" w:rsidRPr="002D5714" w:rsidRDefault="002D5714" w:rsidP="00900CD8">
      <w:pPr>
        <w:ind w:left="720"/>
        <w:contextualSpacing/>
        <w:rPr>
          <w:rFonts w:ascii="Calibri" w:eastAsia="PMingLiU" w:hAnsi="Calibri" w:cs="Arial"/>
          <w:szCs w:val="22"/>
          <w:lang w:val="fr-CA" w:eastAsia="en-GB"/>
        </w:rPr>
      </w:pPr>
    </w:p>
    <w:p w14:paraId="09D96680" w14:textId="77777777" w:rsidR="002D5714" w:rsidRPr="002D5714" w:rsidRDefault="002D5714">
      <w:pPr>
        <w:rPr>
          <w:rFonts w:ascii="Calibri" w:eastAsia="PMingLiU" w:hAnsi="Calibri" w:cs="Arial"/>
          <w:b/>
          <w:sz w:val="28"/>
          <w:szCs w:val="22"/>
          <w:lang w:eastAsia="en-GB"/>
        </w:rPr>
      </w:pPr>
      <w:r w:rsidRPr="002D5714">
        <w:rPr>
          <w:rFonts w:ascii="Calibri" w:eastAsia="Times New Roman" w:hAnsi="Calibri" w:cs="Calibri"/>
          <w:b/>
          <w:bCs/>
          <w:sz w:val="28"/>
          <w:szCs w:val="28"/>
          <w:lang w:val="fr-FR" w:eastAsia="en-GB"/>
        </w:rPr>
        <w:t>Lavage des mains</w:t>
      </w:r>
    </w:p>
    <w:p w14:paraId="743E054A" w14:textId="77777777" w:rsidR="002D5714" w:rsidRPr="002D5714" w:rsidRDefault="002D5714" w:rsidP="00900CD8">
      <w:pPr>
        <w:numPr>
          <w:ilvl w:val="0"/>
          <w:numId w:val="52"/>
        </w:numPr>
        <w:rPr>
          <w:rFonts w:ascii="Calibri" w:eastAsia="PMingLiU" w:hAnsi="Calibri" w:cs="Arial"/>
          <w:szCs w:val="22"/>
          <w:lang w:val="fr-CA" w:eastAsia="en-GB"/>
        </w:rPr>
      </w:pPr>
      <w:r w:rsidRPr="002D5714">
        <w:rPr>
          <w:rFonts w:ascii="Calibri" w:eastAsia="Times New Roman" w:hAnsi="Calibri" w:cs="Calibri"/>
          <w:lang w:val="fr-FR" w:eastAsia="en-GB"/>
        </w:rPr>
        <w:t>Versez 1 cuillère à café de savon liquide sur vos mains ou utilisez un petit morceau de savon.</w:t>
      </w:r>
    </w:p>
    <w:p w14:paraId="0A5DE6B4" w14:textId="77777777" w:rsidR="002D5714" w:rsidRPr="002D5714" w:rsidRDefault="002D5714" w:rsidP="00900CD8">
      <w:pPr>
        <w:numPr>
          <w:ilvl w:val="0"/>
          <w:numId w:val="52"/>
        </w:numPr>
        <w:rPr>
          <w:rFonts w:ascii="Calibri" w:eastAsia="PMingLiU" w:hAnsi="Calibri" w:cs="Arial"/>
          <w:szCs w:val="22"/>
          <w:lang w:val="fr-CA" w:eastAsia="en-GB"/>
        </w:rPr>
      </w:pPr>
      <w:r w:rsidRPr="002D5714">
        <w:rPr>
          <w:rFonts w:ascii="Calibri" w:eastAsia="Times New Roman" w:hAnsi="Calibri" w:cs="Calibri"/>
          <w:lang w:val="fr-FR" w:eastAsia="en-GB"/>
        </w:rPr>
        <w:t>Frottez le savon sur toutes les parties de vos mains et de vos poignets pendant 40 à 60 secondes.</w:t>
      </w:r>
    </w:p>
    <w:p w14:paraId="4F683805" w14:textId="77777777" w:rsidR="002D5714" w:rsidRPr="002D5714" w:rsidRDefault="002D5714">
      <w:pPr>
        <w:ind w:left="360"/>
        <w:rPr>
          <w:rFonts w:ascii="Calibri" w:eastAsia="PMingLiU" w:hAnsi="Calibri" w:cs="Arial"/>
          <w:sz w:val="10"/>
          <w:szCs w:val="8"/>
          <w:lang w:val="fr-CA" w:eastAsia="en-GB"/>
        </w:rPr>
      </w:pPr>
    </w:p>
    <w:p w14:paraId="6C39ED3B" w14:textId="77777777" w:rsidR="002D5714" w:rsidRPr="002D5714" w:rsidRDefault="002D5714">
      <w:pPr>
        <w:rPr>
          <w:rFonts w:ascii="Calibri" w:eastAsia="PMingLiU" w:hAnsi="Calibri" w:cs="Arial"/>
          <w:szCs w:val="22"/>
          <w:lang w:val="fr-CA" w:eastAsia="en-GB"/>
        </w:rPr>
      </w:pPr>
      <w:r w:rsidRPr="002D5714">
        <w:rPr>
          <w:rFonts w:ascii="Calibri" w:eastAsia="Times New Roman" w:hAnsi="Calibri" w:cs="Calibri"/>
          <w:lang w:val="fr-FR" w:eastAsia="en-GB"/>
        </w:rPr>
        <w:t xml:space="preserve">Séchez-vous les mains avec une serviette propre en tissu ou en papier, ou laissez-les sécher à l’air. </w:t>
      </w:r>
    </w:p>
    <w:p w14:paraId="054EF356" w14:textId="77777777" w:rsidR="002D5714" w:rsidRPr="002D5714" w:rsidRDefault="002D5714" w:rsidP="00900CD8">
      <w:pPr>
        <w:ind w:left="-1080"/>
        <w:rPr>
          <w:rFonts w:ascii="Calibri" w:eastAsia="PMingLiU" w:hAnsi="Calibri" w:cs="Arial"/>
          <w:b/>
          <w:szCs w:val="22"/>
          <w:lang w:val="en-GB" w:eastAsia="en-GB"/>
        </w:rPr>
      </w:pPr>
      <w:r w:rsidRPr="002D5714">
        <w:rPr>
          <w:rFonts w:ascii="Calibri" w:eastAsia="PMingLiU" w:hAnsi="Calibri" w:cs="Arial"/>
          <w:noProof/>
          <w:szCs w:val="22"/>
        </w:rPr>
        <w:drawing>
          <wp:inline distT="0" distB="0" distL="0" distR="0" wp14:anchorId="24711B6C" wp14:editId="2235BD1A">
            <wp:extent cx="4591050" cy="4886325"/>
            <wp:effectExtent l="0" t="0" r="0"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l="12405" t="17213" r="13087" b="9721"/>
                    <a:stretch>
                      <a:fillRect/>
                    </a:stretch>
                  </pic:blipFill>
                  <pic:spPr bwMode="auto">
                    <a:xfrm>
                      <a:off x="0" y="0"/>
                      <a:ext cx="4591050" cy="4886325"/>
                    </a:xfrm>
                    <a:prstGeom prst="rect">
                      <a:avLst/>
                    </a:prstGeom>
                    <a:noFill/>
                    <a:ln>
                      <a:noFill/>
                    </a:ln>
                  </pic:spPr>
                </pic:pic>
              </a:graphicData>
            </a:graphic>
          </wp:inline>
        </w:drawing>
      </w:r>
    </w:p>
    <w:p w14:paraId="40D9EA4E" w14:textId="77777777" w:rsidR="002D5714" w:rsidRPr="002D5714" w:rsidRDefault="002D5714">
      <w:pPr>
        <w:rPr>
          <w:rFonts w:ascii="Calibri" w:eastAsia="PMingLiU" w:hAnsi="Calibri" w:cs="Arial"/>
          <w:b/>
          <w:sz w:val="28"/>
          <w:szCs w:val="22"/>
          <w:lang w:val="fr-CA" w:eastAsia="en-GB"/>
        </w:rPr>
      </w:pPr>
      <w:r w:rsidRPr="002D5714">
        <w:rPr>
          <w:rFonts w:ascii="Calibri" w:eastAsia="Times New Roman" w:hAnsi="Calibri" w:cs="Calibri"/>
          <w:b/>
          <w:bCs/>
          <w:sz w:val="28"/>
          <w:szCs w:val="28"/>
          <w:lang w:val="fr-FR" w:eastAsia="en-GB"/>
        </w:rPr>
        <w:t>Gel désinfectant pour les mains</w:t>
      </w:r>
    </w:p>
    <w:p w14:paraId="02FE97CB" w14:textId="77777777" w:rsidR="002D5714" w:rsidRPr="002D5714" w:rsidRDefault="002D5714" w:rsidP="00900CD8">
      <w:pPr>
        <w:numPr>
          <w:ilvl w:val="0"/>
          <w:numId w:val="53"/>
        </w:numPr>
        <w:rPr>
          <w:rFonts w:ascii="Calibri" w:eastAsia="PMingLiU" w:hAnsi="Calibri" w:cs="Arial"/>
          <w:szCs w:val="22"/>
          <w:lang w:val="fr-CA" w:eastAsia="en-GB"/>
        </w:rPr>
      </w:pPr>
      <w:r w:rsidRPr="002D5714">
        <w:rPr>
          <w:rFonts w:ascii="Calibri" w:eastAsia="Times New Roman" w:hAnsi="Calibri" w:cs="Calibri"/>
          <w:lang w:val="fr-FR" w:eastAsia="en-GB"/>
        </w:rPr>
        <w:t>Versez 1 cuillère à café de gel désinfectant sur vos mains.</w:t>
      </w:r>
    </w:p>
    <w:p w14:paraId="7C11F7F8" w14:textId="77777777" w:rsidR="002D5714" w:rsidRPr="002D5714" w:rsidRDefault="002D5714" w:rsidP="00900CD8">
      <w:pPr>
        <w:numPr>
          <w:ilvl w:val="0"/>
          <w:numId w:val="53"/>
        </w:numPr>
        <w:rPr>
          <w:rFonts w:ascii="Calibri" w:eastAsia="PMingLiU" w:hAnsi="Calibri" w:cs="Arial"/>
          <w:szCs w:val="22"/>
          <w:lang w:val="fr-CA" w:eastAsia="en-GB"/>
        </w:rPr>
      </w:pPr>
      <w:r w:rsidRPr="002D5714">
        <w:rPr>
          <w:rFonts w:ascii="Calibri" w:eastAsia="Times New Roman" w:hAnsi="Calibri" w:cs="Calibri"/>
          <w:lang w:val="fr-FR" w:eastAsia="en-GB"/>
        </w:rPr>
        <w:t xml:space="preserve">Frottez le gel désinfectant sur toutes les parties de vos mains et de vos poignets pendant 20 à 30 secondes ou jusqu’à ce que vos mains soient complètement sèches. </w:t>
      </w:r>
    </w:p>
    <w:p w14:paraId="5862F243" w14:textId="77777777" w:rsidR="002D5714" w:rsidRPr="002D5714" w:rsidRDefault="002D5714" w:rsidP="00900CD8">
      <w:pPr>
        <w:ind w:left="-990"/>
        <w:jc w:val="right"/>
        <w:rPr>
          <w:rFonts w:ascii="Calibri" w:eastAsia="PMingLiU" w:hAnsi="Calibri" w:cs="Arial"/>
          <w:szCs w:val="22"/>
          <w:lang w:val="en-GB" w:eastAsia="en-GB"/>
        </w:rPr>
      </w:pPr>
      <w:r w:rsidRPr="002D5714">
        <w:rPr>
          <w:rFonts w:ascii="Calibri" w:eastAsia="PMingLiU" w:hAnsi="Calibri" w:cs="Arial"/>
          <w:b/>
          <w:noProof/>
          <w:szCs w:val="22"/>
        </w:rPr>
        <w:drawing>
          <wp:inline distT="0" distB="0" distL="0" distR="0" wp14:anchorId="02A45123" wp14:editId="006CED75">
            <wp:extent cx="4519899" cy="48577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l="9297" t="23869" r="9982" b="11183"/>
                    <a:stretch>
                      <a:fillRect/>
                    </a:stretch>
                  </pic:blipFill>
                  <pic:spPr bwMode="auto">
                    <a:xfrm>
                      <a:off x="0" y="0"/>
                      <a:ext cx="4519899" cy="4857750"/>
                    </a:xfrm>
                    <a:prstGeom prst="rect">
                      <a:avLst/>
                    </a:prstGeom>
                    <a:noFill/>
                    <a:ln>
                      <a:noFill/>
                    </a:ln>
                  </pic:spPr>
                </pic:pic>
              </a:graphicData>
            </a:graphic>
          </wp:inline>
        </w:drawing>
      </w:r>
      <w:r w:rsidRPr="002D5714">
        <w:rPr>
          <w:rFonts w:ascii="Calibri" w:eastAsia="PMingLiU" w:hAnsi="Calibri" w:cs="Arial"/>
          <w:szCs w:val="22"/>
          <w:lang w:val="en-GB" w:eastAsia="en-GB"/>
        </w:rPr>
        <w:t xml:space="preserve"> </w:t>
      </w:r>
    </w:p>
    <w:p w14:paraId="66F4C6D5" w14:textId="77777777" w:rsidR="002D5714" w:rsidRPr="002D5714" w:rsidRDefault="002D5714">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N’oubliez pas :</w:t>
      </w:r>
    </w:p>
    <w:p w14:paraId="577CD90E" w14:textId="77777777" w:rsidR="002D5714" w:rsidRPr="002D5714" w:rsidRDefault="002D5714" w:rsidP="00900CD8">
      <w:pPr>
        <w:numPr>
          <w:ilvl w:val="0"/>
          <w:numId w:val="54"/>
        </w:numPr>
        <w:rPr>
          <w:rFonts w:ascii="Calibri" w:eastAsia="PMingLiU" w:hAnsi="Calibri" w:cs="Arial"/>
          <w:szCs w:val="22"/>
          <w:lang w:val="fr-CA" w:eastAsia="en-GB"/>
        </w:rPr>
      </w:pPr>
      <w:r w:rsidRPr="002D5714">
        <w:rPr>
          <w:rFonts w:ascii="Calibri" w:eastAsia="Times New Roman" w:hAnsi="Calibri" w:cs="Calibri"/>
          <w:lang w:val="fr-FR" w:eastAsia="en-GB"/>
        </w:rPr>
        <w:t>Quand vous vous lavez les mains :</w:t>
      </w:r>
    </w:p>
    <w:p w14:paraId="6B9FDBB4"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Évitez l’eau stagnante (impossible de savoir si elle est propre).</w:t>
      </w:r>
    </w:p>
    <w:p w14:paraId="6EBC7EA0"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Évitez l’eau non potable (impossible de savoir si elle est propre).</w:t>
      </w:r>
    </w:p>
    <w:p w14:paraId="5052B217"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Utilisez un petit morceau de savon (moins de personnes l’utiliseront avant qu’il ne soit totalement usé).</w:t>
      </w:r>
    </w:p>
    <w:p w14:paraId="0F8700D6"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Ne vous frottez pas les mains avec seulement de l’eau !</w:t>
      </w:r>
    </w:p>
    <w:p w14:paraId="4937DB79" w14:textId="77777777" w:rsidR="002D5714" w:rsidRPr="002D5714" w:rsidRDefault="002D5714">
      <w:pPr>
        <w:rPr>
          <w:rFonts w:ascii="Calibri" w:eastAsia="PMingLiU" w:hAnsi="Calibri" w:cs="Arial"/>
          <w:szCs w:val="22"/>
          <w:lang w:val="fr-CA" w:eastAsia="en-GB"/>
        </w:rPr>
      </w:pPr>
    </w:p>
    <w:p w14:paraId="7EEB809A" w14:textId="77777777" w:rsidR="002D5714" w:rsidRPr="002D5714" w:rsidRDefault="002D5714">
      <w:pPr>
        <w:rPr>
          <w:rFonts w:ascii="Calibri" w:eastAsia="PMingLiU" w:hAnsi="Calibri" w:cs="Arial"/>
          <w:b/>
          <w:szCs w:val="22"/>
          <w:lang w:val="fr-CA" w:eastAsia="en-GB"/>
        </w:rPr>
      </w:pPr>
    </w:p>
    <w:p w14:paraId="2BB1975F" w14:textId="77777777" w:rsidR="002D5714" w:rsidRPr="002D5714" w:rsidRDefault="002D5714">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Évitez tout contact corporel</w:t>
      </w:r>
    </w:p>
    <w:p w14:paraId="5708E1EA" w14:textId="77777777" w:rsidR="002D5714" w:rsidRPr="002D5714" w:rsidRDefault="002D5714">
      <w:pPr>
        <w:ind w:left="720"/>
        <w:rPr>
          <w:rFonts w:ascii="Calibri" w:eastAsia="PMingLiU" w:hAnsi="Calibri" w:cs="Arial"/>
          <w:szCs w:val="22"/>
          <w:lang w:eastAsia="en-GB"/>
        </w:rPr>
      </w:pPr>
    </w:p>
    <w:p w14:paraId="0ACFB603" w14:textId="77777777" w:rsidR="002D5714" w:rsidRPr="002D5714" w:rsidRDefault="002D5714" w:rsidP="00900CD8">
      <w:pPr>
        <w:numPr>
          <w:ilvl w:val="0"/>
          <w:numId w:val="55"/>
        </w:numPr>
        <w:rPr>
          <w:rFonts w:ascii="Calibri" w:eastAsia="PMingLiU" w:hAnsi="Calibri" w:cs="Arial"/>
          <w:szCs w:val="22"/>
          <w:lang w:val="fr-CA" w:eastAsia="en-GB"/>
        </w:rPr>
      </w:pPr>
      <w:r w:rsidRPr="002D5714">
        <w:rPr>
          <w:rFonts w:ascii="Calibri" w:eastAsia="Times New Roman" w:hAnsi="Calibri" w:cs="Calibri"/>
          <w:lang w:val="fr-FR" w:eastAsia="en-GB"/>
        </w:rPr>
        <w:t xml:space="preserve">Évitez toutes les formes de contact physique. </w:t>
      </w:r>
    </w:p>
    <w:p w14:paraId="5D86490F" w14:textId="77777777" w:rsidR="002D5714" w:rsidRPr="002D5714" w:rsidRDefault="002D5714" w:rsidP="00900CD8">
      <w:pPr>
        <w:numPr>
          <w:ilvl w:val="1"/>
          <w:numId w:val="55"/>
        </w:numPr>
        <w:rPr>
          <w:rFonts w:ascii="Calibri" w:eastAsia="PMingLiU" w:hAnsi="Calibri" w:cs="Arial"/>
          <w:szCs w:val="22"/>
          <w:lang w:val="fr-CA" w:eastAsia="en-GB"/>
        </w:rPr>
      </w:pPr>
      <w:r w:rsidRPr="002D5714">
        <w:rPr>
          <w:rFonts w:ascii="Calibri" w:eastAsia="Times New Roman" w:hAnsi="Calibri" w:cs="Calibri"/>
          <w:lang w:val="fr-FR" w:eastAsia="en-GB"/>
        </w:rPr>
        <w:t>Ne touchez aucun des contacts.</w:t>
      </w:r>
    </w:p>
    <w:p w14:paraId="03ADB898" w14:textId="77777777" w:rsidR="002D5714" w:rsidRPr="002D5714" w:rsidRDefault="002D5714" w:rsidP="00900CD8">
      <w:pPr>
        <w:numPr>
          <w:ilvl w:val="1"/>
          <w:numId w:val="55"/>
        </w:numPr>
        <w:rPr>
          <w:rFonts w:ascii="Calibri" w:eastAsia="PMingLiU" w:hAnsi="Calibri" w:cs="Arial"/>
          <w:szCs w:val="22"/>
          <w:lang w:val="fr-CA" w:eastAsia="en-GB"/>
        </w:rPr>
      </w:pPr>
      <w:r w:rsidRPr="002D5714">
        <w:rPr>
          <w:rFonts w:ascii="Calibri" w:eastAsia="Times New Roman" w:hAnsi="Calibri" w:cs="Calibri"/>
          <w:lang w:val="fr-FR" w:eastAsia="en-GB"/>
        </w:rPr>
        <w:t>Ne partagez pas leur nourriture.</w:t>
      </w:r>
    </w:p>
    <w:p w14:paraId="3A8F4129" w14:textId="77777777" w:rsidR="002D5714" w:rsidRPr="002D5714" w:rsidRDefault="002D5714" w:rsidP="00900CD8">
      <w:pPr>
        <w:numPr>
          <w:ilvl w:val="1"/>
          <w:numId w:val="55"/>
        </w:numPr>
        <w:rPr>
          <w:rFonts w:ascii="Calibri" w:eastAsia="PMingLiU" w:hAnsi="Calibri" w:cs="Arial"/>
          <w:szCs w:val="22"/>
          <w:lang w:val="fr-CA" w:eastAsia="en-GB"/>
        </w:rPr>
      </w:pPr>
      <w:r w:rsidRPr="002D5714">
        <w:rPr>
          <w:rFonts w:ascii="Calibri" w:eastAsia="Times New Roman" w:hAnsi="Calibri" w:cs="Calibri"/>
          <w:lang w:val="fr-FR" w:eastAsia="en-GB"/>
        </w:rPr>
        <w:t>Ne partagez pas leur thé.</w:t>
      </w:r>
    </w:p>
    <w:p w14:paraId="24C3A69A" w14:textId="77777777" w:rsidR="002D5714" w:rsidRPr="002D5714" w:rsidRDefault="002D5714" w:rsidP="00900CD8">
      <w:pPr>
        <w:numPr>
          <w:ilvl w:val="1"/>
          <w:numId w:val="55"/>
        </w:numPr>
        <w:rPr>
          <w:rFonts w:ascii="Calibri" w:eastAsia="PMingLiU" w:hAnsi="Calibri" w:cs="Arial"/>
          <w:szCs w:val="22"/>
          <w:lang w:eastAsia="en-GB"/>
        </w:rPr>
      </w:pPr>
      <w:r w:rsidRPr="002D5714">
        <w:rPr>
          <w:rFonts w:ascii="Calibri" w:eastAsia="Times New Roman" w:hAnsi="Calibri" w:cs="Calibri"/>
          <w:lang w:val="fr-FR" w:eastAsia="en-GB"/>
        </w:rPr>
        <w:t>N’utilisez pas leur téléphone.</w:t>
      </w:r>
    </w:p>
    <w:p w14:paraId="00DB1A38" w14:textId="77777777" w:rsidR="002D5714" w:rsidRPr="002D5714" w:rsidRDefault="002D5714" w:rsidP="00900CD8">
      <w:pPr>
        <w:numPr>
          <w:ilvl w:val="1"/>
          <w:numId w:val="55"/>
        </w:numPr>
        <w:rPr>
          <w:rFonts w:ascii="Calibri" w:eastAsia="PMingLiU" w:hAnsi="Calibri" w:cs="Arial"/>
          <w:szCs w:val="22"/>
          <w:lang w:val="fr-CA" w:eastAsia="en-GB"/>
        </w:rPr>
      </w:pPr>
      <w:r w:rsidRPr="002D5714">
        <w:rPr>
          <w:rFonts w:ascii="Calibri" w:eastAsia="Times New Roman" w:hAnsi="Calibri" w:cs="Calibri"/>
          <w:lang w:val="fr-FR" w:eastAsia="en-GB"/>
        </w:rPr>
        <w:t>Ne touchez pas leurs affaires.</w:t>
      </w:r>
    </w:p>
    <w:p w14:paraId="708999A0"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Maintenez 1 mètre de distance avec toutes les personnes.</w:t>
      </w:r>
    </w:p>
    <w:p w14:paraId="69D793AC" w14:textId="77777777" w:rsidR="002D5714" w:rsidRPr="002D5714" w:rsidRDefault="002D5714" w:rsidP="00900CD8">
      <w:pPr>
        <w:numPr>
          <w:ilvl w:val="0"/>
          <w:numId w:val="54"/>
        </w:numPr>
        <w:rPr>
          <w:rFonts w:ascii="Calibri" w:eastAsia="PMingLiU" w:hAnsi="Calibri" w:cs="Arial"/>
          <w:szCs w:val="22"/>
          <w:lang w:val="fr-CA" w:eastAsia="en-GB"/>
        </w:rPr>
      </w:pPr>
      <w:r w:rsidRPr="002D5714">
        <w:rPr>
          <w:rFonts w:ascii="Calibri" w:eastAsia="Times New Roman" w:hAnsi="Calibri" w:cs="Calibri"/>
          <w:lang w:val="fr-FR" w:eastAsia="en-GB"/>
        </w:rPr>
        <w:t>Si vous touchez quelqu’un accidentellement, lavez-vous immédiatement les mains et la zone exposée avec du savon ou du gel désinfectant pour les mains.</w:t>
      </w:r>
    </w:p>
    <w:p w14:paraId="0E491F27" w14:textId="77777777" w:rsidR="002D5714" w:rsidRPr="002D5714" w:rsidRDefault="002D5714" w:rsidP="00900CD8">
      <w:pPr>
        <w:numPr>
          <w:ilvl w:val="0"/>
          <w:numId w:val="54"/>
        </w:numPr>
        <w:rPr>
          <w:rFonts w:ascii="Calibri" w:eastAsia="PMingLiU" w:hAnsi="Calibri" w:cs="Arial"/>
          <w:szCs w:val="22"/>
          <w:lang w:val="fr-CA" w:eastAsia="en-GB"/>
        </w:rPr>
      </w:pPr>
      <w:r w:rsidRPr="002D5714">
        <w:rPr>
          <w:rFonts w:ascii="Calibri" w:eastAsia="Times New Roman" w:hAnsi="Calibri" w:cs="Calibri"/>
          <w:lang w:val="fr-FR" w:eastAsia="en-GB"/>
        </w:rPr>
        <w:t>Si vous touchez un cas suspect pour une raison QUELCONQUE, prenez immédiatement les mesures suivantes :</w:t>
      </w:r>
    </w:p>
    <w:p w14:paraId="263CE3B3"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Lavez-vous les mains et la zone exposée avec du savon ou du gel désinfectant pour les mains.</w:t>
      </w:r>
    </w:p>
    <w:p w14:paraId="08F81D47"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 xml:space="preserve">Avertissez vos collègues et votre superviseur. </w:t>
      </w:r>
    </w:p>
    <w:p w14:paraId="3187D8B4"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Ne touchez ni les personnes ni les choses.</w:t>
      </w:r>
    </w:p>
    <w:p w14:paraId="439135CD" w14:textId="77777777" w:rsidR="002D5714" w:rsidRPr="002D5714" w:rsidRDefault="002D5714" w:rsidP="00900CD8">
      <w:pPr>
        <w:numPr>
          <w:ilvl w:val="1"/>
          <w:numId w:val="54"/>
        </w:numPr>
        <w:rPr>
          <w:rFonts w:ascii="Calibri" w:eastAsia="PMingLiU" w:hAnsi="Calibri" w:cs="Arial"/>
          <w:szCs w:val="22"/>
          <w:lang w:val="fr-CA" w:eastAsia="en-GB"/>
        </w:rPr>
      </w:pPr>
      <w:r w:rsidRPr="002D5714">
        <w:rPr>
          <w:rFonts w:ascii="Calibri" w:eastAsia="Times New Roman" w:hAnsi="Calibri" w:cs="Calibri"/>
          <w:lang w:val="fr-FR" w:eastAsia="en-GB"/>
        </w:rPr>
        <w:t xml:space="preserve">Surveillez votre température pendant les 21 jours suivants, au moins 2 fois par jour. </w:t>
      </w:r>
    </w:p>
    <w:p w14:paraId="34C9CD18" w14:textId="77777777" w:rsidR="002D5714" w:rsidRPr="002D5714" w:rsidRDefault="002D5714" w:rsidP="00900CD8">
      <w:pPr>
        <w:rPr>
          <w:rFonts w:ascii="Calibri" w:eastAsia="PMingLiU" w:hAnsi="Calibri" w:cs="Arial"/>
          <w:szCs w:val="22"/>
          <w:lang w:val="fr-CA" w:eastAsia="en-GB"/>
        </w:rPr>
      </w:pPr>
    </w:p>
    <w:p w14:paraId="3CCDE078" w14:textId="77777777" w:rsidR="002D5714" w:rsidRPr="002D5714" w:rsidRDefault="002D5714" w:rsidP="00900CD8">
      <w:pPr>
        <w:rPr>
          <w:rFonts w:ascii="Calibri" w:eastAsia="PMingLiU" w:hAnsi="Calibri" w:cs="Arial"/>
          <w:b/>
          <w:sz w:val="28"/>
          <w:szCs w:val="22"/>
          <w:lang w:val="fr-CA" w:eastAsia="en-GB"/>
        </w:rPr>
      </w:pPr>
      <w:r w:rsidRPr="002D5714">
        <w:rPr>
          <w:rFonts w:ascii="Calibri" w:eastAsia="Times New Roman" w:hAnsi="Calibri" w:cs="Calibri"/>
          <w:b/>
          <w:bCs/>
          <w:sz w:val="28"/>
          <w:szCs w:val="28"/>
          <w:lang w:val="fr-FR" w:eastAsia="en-GB"/>
        </w:rPr>
        <w:t xml:space="preserve">Prise en charge d’un cas suspect </w:t>
      </w:r>
    </w:p>
    <w:p w14:paraId="412931C3" w14:textId="77777777" w:rsidR="002D5714" w:rsidRPr="002D5714" w:rsidRDefault="002D5714" w:rsidP="00900CD8">
      <w:pPr>
        <w:rPr>
          <w:rFonts w:ascii="Calibri" w:eastAsia="PMingLiU" w:hAnsi="Calibri" w:cs="Arial"/>
          <w:b/>
          <w:szCs w:val="22"/>
          <w:lang w:val="fr-CA" w:eastAsia="en-GB"/>
        </w:rPr>
      </w:pPr>
      <w:r w:rsidRPr="002D5714">
        <w:rPr>
          <w:rFonts w:ascii="Calibri" w:eastAsia="Times New Roman" w:hAnsi="Calibri" w:cs="Calibri"/>
          <w:lang w:val="fr-FR" w:eastAsia="en-GB"/>
        </w:rPr>
        <w:t>Toute personne (vivante ou décédée) présentant une fièvre soudaine et 3 ou plus des signes suivants :</w:t>
      </w:r>
    </w:p>
    <w:p w14:paraId="6466DB55"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PMingLiU" w:hAnsi="Calibri" w:cs="Arial"/>
          <w:noProof/>
          <w:sz w:val="22"/>
          <w:szCs w:val="22"/>
        </w:rPr>
        <w:drawing>
          <wp:anchor distT="0" distB="0" distL="114300" distR="114300" simplePos="0" relativeHeight="251661312" behindDoc="1" locked="0" layoutInCell="1" allowOverlap="1" wp14:anchorId="6A6182FA" wp14:editId="39EA954D">
            <wp:simplePos x="0" y="0"/>
            <wp:positionH relativeFrom="column">
              <wp:posOffset>1889760</wp:posOffset>
            </wp:positionH>
            <wp:positionV relativeFrom="paragraph">
              <wp:posOffset>67945</wp:posOffset>
            </wp:positionV>
            <wp:extent cx="1203325" cy="1148080"/>
            <wp:effectExtent l="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l="40820" t="16629" r="33438" b="10080"/>
                    <a:stretch>
                      <a:fillRect/>
                    </a:stretch>
                  </pic:blipFill>
                  <pic:spPr bwMode="auto">
                    <a:xfrm>
                      <a:off x="0" y="0"/>
                      <a:ext cx="1203325" cy="1148080"/>
                    </a:xfrm>
                    <a:prstGeom prst="rect">
                      <a:avLst/>
                    </a:prstGeom>
                    <a:noFill/>
                  </pic:spPr>
                </pic:pic>
              </a:graphicData>
            </a:graphic>
            <wp14:sizeRelH relativeFrom="page">
              <wp14:pctWidth>0</wp14:pctWidth>
            </wp14:sizeRelH>
            <wp14:sizeRelV relativeFrom="page">
              <wp14:pctHeight>0</wp14:pctHeight>
            </wp14:sizeRelV>
          </wp:anchor>
        </w:drawing>
      </w:r>
      <w:r w:rsidRPr="002D5714">
        <w:rPr>
          <w:rFonts w:ascii="Calibri" w:eastAsia="Times New Roman" w:hAnsi="Calibri" w:cs="Calibri"/>
          <w:noProof/>
          <w:lang w:val="fr-FR" w:eastAsia="zh-TW"/>
        </w:rPr>
        <w:t>Maux de tête</w:t>
      </w:r>
    </w:p>
    <w:p w14:paraId="58F92F62"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PMingLiU" w:hAnsi="Calibri" w:cs="Arial"/>
          <w:noProof/>
          <w:sz w:val="22"/>
          <w:szCs w:val="22"/>
        </w:rPr>
        <w:drawing>
          <wp:anchor distT="0" distB="0" distL="114300" distR="114300" simplePos="0" relativeHeight="251660288" behindDoc="1" locked="0" layoutInCell="1" allowOverlap="1" wp14:anchorId="776E74B3" wp14:editId="637FED0A">
            <wp:simplePos x="0" y="0"/>
            <wp:positionH relativeFrom="column">
              <wp:posOffset>3368040</wp:posOffset>
            </wp:positionH>
            <wp:positionV relativeFrom="paragraph">
              <wp:posOffset>52070</wp:posOffset>
            </wp:positionV>
            <wp:extent cx="1134745" cy="1105535"/>
            <wp:effectExtent l="0" t="0" r="8255"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l="1834" t="-5879" r="63612" b="5879"/>
                    <a:stretch>
                      <a:fillRect/>
                    </a:stretch>
                  </pic:blipFill>
                  <pic:spPr bwMode="auto">
                    <a:xfrm>
                      <a:off x="0" y="0"/>
                      <a:ext cx="1134745" cy="1105535"/>
                    </a:xfrm>
                    <a:prstGeom prst="rect">
                      <a:avLst/>
                    </a:prstGeom>
                    <a:noFill/>
                  </pic:spPr>
                </pic:pic>
              </a:graphicData>
            </a:graphic>
            <wp14:sizeRelH relativeFrom="page">
              <wp14:pctWidth>0</wp14:pctWidth>
            </wp14:sizeRelH>
            <wp14:sizeRelV relativeFrom="page">
              <wp14:pctHeight>0</wp14:pctHeight>
            </wp14:sizeRelV>
          </wp:anchor>
        </w:drawing>
      </w:r>
      <w:r w:rsidRPr="002D5714">
        <w:rPr>
          <w:rFonts w:ascii="Calibri" w:eastAsia="Times New Roman" w:hAnsi="Calibri" w:cs="Calibri"/>
          <w:noProof/>
          <w:lang w:val="fr-FR" w:eastAsia="zh-TW"/>
        </w:rPr>
        <w:t>Vomissements</w:t>
      </w:r>
    </w:p>
    <w:p w14:paraId="6A9BA4D5"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Nausée</w:t>
      </w:r>
    </w:p>
    <w:p w14:paraId="700F5E3C"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Perte d’appétit</w:t>
      </w:r>
    </w:p>
    <w:p w14:paraId="189F225A"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Diarrhée</w:t>
      </w:r>
    </w:p>
    <w:p w14:paraId="2BF5A898"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PMingLiU" w:hAnsi="Calibri" w:cs="Arial"/>
          <w:noProof/>
          <w:sz w:val="22"/>
          <w:szCs w:val="22"/>
        </w:rPr>
        <w:drawing>
          <wp:anchor distT="0" distB="0" distL="114300" distR="114300" simplePos="0" relativeHeight="251659264" behindDoc="1" locked="0" layoutInCell="1" allowOverlap="1" wp14:anchorId="3DB575C5" wp14:editId="7573D7F0">
            <wp:simplePos x="0" y="0"/>
            <wp:positionH relativeFrom="column">
              <wp:posOffset>2389505</wp:posOffset>
            </wp:positionH>
            <wp:positionV relativeFrom="paragraph">
              <wp:posOffset>168910</wp:posOffset>
            </wp:positionV>
            <wp:extent cx="1203325" cy="1105535"/>
            <wp:effectExtent l="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l="72928" t="11407" r="957" b="28540"/>
                    <a:stretch>
                      <a:fillRect/>
                    </a:stretch>
                  </pic:blipFill>
                  <pic:spPr bwMode="auto">
                    <a:xfrm>
                      <a:off x="0" y="0"/>
                      <a:ext cx="1203325" cy="1105535"/>
                    </a:xfrm>
                    <a:prstGeom prst="rect">
                      <a:avLst/>
                    </a:prstGeom>
                    <a:noFill/>
                  </pic:spPr>
                </pic:pic>
              </a:graphicData>
            </a:graphic>
            <wp14:sizeRelH relativeFrom="page">
              <wp14:pctWidth>0</wp14:pctWidth>
            </wp14:sizeRelH>
            <wp14:sizeRelV relativeFrom="page">
              <wp14:pctHeight>0</wp14:pctHeight>
            </wp14:sizeRelV>
          </wp:anchor>
        </w:drawing>
      </w:r>
      <w:r w:rsidRPr="002D5714">
        <w:rPr>
          <w:rFonts w:ascii="Calibri" w:eastAsia="Times New Roman" w:hAnsi="Calibri" w:cs="Calibri"/>
          <w:noProof/>
          <w:lang w:val="fr-FR" w:eastAsia="zh-TW"/>
        </w:rPr>
        <w:t>Fatigue intense</w:t>
      </w:r>
    </w:p>
    <w:p w14:paraId="0A519727"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Maux d’estomac</w:t>
      </w:r>
    </w:p>
    <w:p w14:paraId="77207507"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Difficultés à avaler</w:t>
      </w:r>
    </w:p>
    <w:p w14:paraId="333680C9"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Difficultés respiratoires</w:t>
      </w:r>
    </w:p>
    <w:p w14:paraId="4CF7606E" w14:textId="77777777" w:rsidR="002D5714" w:rsidRPr="002D5714" w:rsidRDefault="002D5714" w:rsidP="00900CD8">
      <w:pPr>
        <w:numPr>
          <w:ilvl w:val="0"/>
          <w:numId w:val="56"/>
        </w:numPr>
        <w:rPr>
          <w:rFonts w:ascii="Calibri" w:eastAsia="PMingLiU" w:hAnsi="Calibri" w:cs="Arial"/>
          <w:szCs w:val="22"/>
          <w:lang w:eastAsia="en-GB"/>
        </w:rPr>
      </w:pPr>
      <w:r w:rsidRPr="002D5714">
        <w:rPr>
          <w:rFonts w:ascii="Calibri" w:eastAsia="Times New Roman" w:hAnsi="Calibri" w:cs="Calibri"/>
          <w:lang w:val="fr-FR" w:eastAsia="en-GB"/>
        </w:rPr>
        <w:t xml:space="preserve">Hoquet </w:t>
      </w:r>
    </w:p>
    <w:p w14:paraId="493B4BC1" w14:textId="77777777" w:rsidR="002D5714" w:rsidRPr="002D5714" w:rsidRDefault="002D5714" w:rsidP="00900CD8">
      <w:pPr>
        <w:rPr>
          <w:rFonts w:ascii="Calibri" w:eastAsia="PMingLiU" w:hAnsi="Calibri" w:cs="Arial"/>
          <w:noProof/>
          <w:szCs w:val="22"/>
        </w:rPr>
      </w:pPr>
      <w:r w:rsidRPr="002D5714">
        <w:rPr>
          <w:rFonts w:ascii="Calibri" w:eastAsia="PMingLiU" w:hAnsi="Calibri" w:cs="Arial"/>
          <w:noProof/>
          <w:szCs w:val="22"/>
        </w:rPr>
        <w:t xml:space="preserve">  </w:t>
      </w:r>
    </w:p>
    <w:p w14:paraId="7BEE119A" w14:textId="77777777" w:rsidR="0093137E" w:rsidRDefault="0093137E">
      <w:pPr>
        <w:rPr>
          <w:rFonts w:ascii="Calibri" w:eastAsia="Times New Roman" w:hAnsi="Calibri" w:cs="Calibri"/>
          <w:b/>
          <w:bCs/>
          <w:sz w:val="28"/>
          <w:szCs w:val="28"/>
          <w:lang w:val="fr-FR" w:eastAsia="en-GB"/>
        </w:rPr>
      </w:pPr>
    </w:p>
    <w:p w14:paraId="02D60542" w14:textId="77777777" w:rsidR="002D5714" w:rsidRPr="002D5714" w:rsidRDefault="002D5714">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Quand une personne est symptomatique</w:t>
      </w:r>
    </w:p>
    <w:p w14:paraId="679455CB" w14:textId="77777777" w:rsidR="002D5714" w:rsidRPr="002D5714" w:rsidRDefault="002D5714">
      <w:pPr>
        <w:rPr>
          <w:rFonts w:ascii="Calibri" w:eastAsia="PMingLiU" w:hAnsi="Calibri" w:cs="Arial"/>
          <w:szCs w:val="22"/>
          <w:lang w:val="fr-CA" w:eastAsia="en-GB"/>
        </w:rPr>
      </w:pPr>
      <w:r w:rsidRPr="002D5714">
        <w:rPr>
          <w:rFonts w:ascii="Calibri" w:eastAsia="Times New Roman" w:hAnsi="Calibri" w:cs="Calibri"/>
          <w:lang w:val="fr-FR" w:eastAsia="en-GB"/>
        </w:rPr>
        <w:t>Si une personne a de la température à 37,5 °C ET/OU 3 symptômes :</w:t>
      </w:r>
    </w:p>
    <w:p w14:paraId="40AC3C04"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Faites-la asseoir à l’ombre pendant 10 minutes.</w:t>
      </w:r>
    </w:p>
    <w:p w14:paraId="2A874C2E"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Faites-la se débarrasser de ce qu’elle porte.</w:t>
      </w:r>
    </w:p>
    <w:p w14:paraId="23825BAD"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Assurez-vous qu’elle s’est rafraîchie.</w:t>
      </w:r>
    </w:p>
    <w:p w14:paraId="5B03C2F4" w14:textId="77777777" w:rsidR="002D5714" w:rsidRPr="002D5714" w:rsidRDefault="002D5714" w:rsidP="00900CD8">
      <w:pPr>
        <w:numPr>
          <w:ilvl w:val="1"/>
          <w:numId w:val="57"/>
        </w:numPr>
        <w:rPr>
          <w:rFonts w:ascii="Calibri" w:eastAsia="PMingLiU" w:hAnsi="Calibri" w:cs="Arial"/>
          <w:szCs w:val="22"/>
          <w:lang w:eastAsia="en-GB"/>
        </w:rPr>
      </w:pPr>
      <w:r w:rsidRPr="002D5714">
        <w:rPr>
          <w:rFonts w:ascii="Calibri" w:eastAsia="Times New Roman" w:hAnsi="Calibri" w:cs="Calibri"/>
          <w:lang w:val="fr-FR" w:eastAsia="en-GB"/>
        </w:rPr>
        <w:t>Reprenez sa température.</w:t>
      </w:r>
    </w:p>
    <w:p w14:paraId="3A5AF2F1" w14:textId="77777777" w:rsidR="002D5714" w:rsidRPr="002D5714" w:rsidRDefault="002D5714">
      <w:pPr>
        <w:rPr>
          <w:rFonts w:ascii="Calibri" w:eastAsia="PMingLiU" w:hAnsi="Calibri" w:cs="Arial"/>
          <w:szCs w:val="22"/>
          <w:lang w:eastAsia="en-GB"/>
        </w:rPr>
      </w:pPr>
    </w:p>
    <w:p w14:paraId="4E26DB65" w14:textId="77777777" w:rsidR="002D5714" w:rsidRPr="002D5714" w:rsidRDefault="002D5714">
      <w:pPr>
        <w:rPr>
          <w:rFonts w:ascii="Calibri" w:eastAsia="PMingLiU" w:hAnsi="Calibri" w:cs="Arial"/>
          <w:szCs w:val="22"/>
          <w:lang w:val="fr-CA" w:eastAsia="en-GB"/>
        </w:rPr>
      </w:pPr>
      <w:r w:rsidRPr="002D5714">
        <w:rPr>
          <w:rFonts w:ascii="Calibri" w:eastAsia="Times New Roman" w:hAnsi="Calibri" w:cs="Calibri"/>
          <w:lang w:val="fr-FR" w:eastAsia="en-GB"/>
        </w:rPr>
        <w:t xml:space="preserve">S’il ou elle </w:t>
      </w:r>
      <w:r w:rsidRPr="002D5714">
        <w:rPr>
          <w:rFonts w:ascii="Calibri" w:eastAsia="Times New Roman" w:hAnsi="Calibri" w:cs="Calibri"/>
          <w:b/>
          <w:bCs/>
          <w:lang w:val="fr-FR" w:eastAsia="en-GB"/>
        </w:rPr>
        <w:t>a toujours</w:t>
      </w:r>
      <w:r w:rsidRPr="002D5714">
        <w:rPr>
          <w:rFonts w:ascii="Calibri" w:eastAsia="Times New Roman" w:hAnsi="Calibri" w:cs="Calibri"/>
          <w:lang w:val="fr-FR" w:eastAsia="en-GB"/>
        </w:rPr>
        <w:t xml:space="preserve"> une température élevée :</w:t>
      </w:r>
    </w:p>
    <w:p w14:paraId="43BB9559"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Dites à la personne qu’elle a de la température.</w:t>
      </w:r>
    </w:p>
    <w:p w14:paraId="0E5D4124"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Informez-la qu’elle ne peut pas continuer et qu’elle doit se rendre dans une USC pour subir des tests.</w:t>
      </w:r>
    </w:p>
    <w:p w14:paraId="2A98B255"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Téléphonez au DERC et informez l’agent qu’il existe une alerte et à quel point de passage de la frontière. Un responsable DSO se rendra sur les lieux pour enquêter sur le cas.</w:t>
      </w:r>
    </w:p>
    <w:p w14:paraId="3EFE3FD2" w14:textId="77777777" w:rsidR="002D5714" w:rsidRPr="002D5714" w:rsidRDefault="002D5714" w:rsidP="00900CD8">
      <w:pPr>
        <w:numPr>
          <w:ilvl w:val="1"/>
          <w:numId w:val="57"/>
        </w:numPr>
        <w:rPr>
          <w:rFonts w:ascii="Calibri" w:eastAsia="PMingLiU" w:hAnsi="Calibri" w:cs="Arial"/>
          <w:szCs w:val="22"/>
          <w:lang w:val="fr-CA" w:eastAsia="en-GB"/>
        </w:rPr>
      </w:pPr>
      <w:r w:rsidRPr="002D5714">
        <w:rPr>
          <w:rFonts w:ascii="Calibri" w:eastAsia="Times New Roman" w:hAnsi="Calibri" w:cs="Calibri"/>
          <w:lang w:val="fr-FR" w:eastAsia="en-GB"/>
        </w:rPr>
        <w:t>Gardez la personne au point de passage de la frontière jusqu’à ce que le responsable DSO arrive.</w:t>
      </w:r>
    </w:p>
    <w:p w14:paraId="3AE32611" w14:textId="77777777" w:rsidR="002D5714" w:rsidRPr="002D5714" w:rsidRDefault="002D5714">
      <w:pPr>
        <w:rPr>
          <w:rFonts w:ascii="Calibri" w:eastAsia="PMingLiU" w:hAnsi="Calibri" w:cs="Arial"/>
          <w:szCs w:val="22"/>
          <w:lang w:val="fr-CA" w:eastAsia="en-GB"/>
        </w:rPr>
      </w:pPr>
    </w:p>
    <w:p w14:paraId="37383EA8" w14:textId="77777777" w:rsidR="002D5714" w:rsidRPr="002D5714" w:rsidRDefault="002D5714">
      <w:pPr>
        <w:rPr>
          <w:rFonts w:ascii="Calibri" w:eastAsia="PMingLiU" w:hAnsi="Calibri" w:cs="Arial"/>
          <w:szCs w:val="22"/>
          <w:lang w:val="fr-CA" w:eastAsia="en-GB"/>
        </w:rPr>
      </w:pPr>
    </w:p>
    <w:p w14:paraId="03C87CC4" w14:textId="77777777" w:rsidR="002D5714" w:rsidRPr="002D5714" w:rsidRDefault="002D5714">
      <w:pPr>
        <w:rPr>
          <w:rFonts w:ascii="Calibri" w:eastAsia="PMingLiU" w:hAnsi="Calibri" w:cs="Arial"/>
          <w:szCs w:val="22"/>
          <w:lang w:val="fr-FR" w:eastAsia="en-GB"/>
        </w:rPr>
      </w:pPr>
      <w:r w:rsidRPr="002D5714">
        <w:rPr>
          <w:rFonts w:ascii="Calibri" w:eastAsia="Times New Roman" w:hAnsi="Calibri" w:cs="Calibri"/>
          <w:lang w:val="fr-FR" w:eastAsia="en-GB"/>
        </w:rPr>
        <w:t>Numéros de téléphone à utiliser</w:t>
      </w:r>
    </w:p>
    <w:p w14:paraId="3D67147D" w14:textId="77777777" w:rsidR="002D5714" w:rsidRPr="002D5714" w:rsidRDefault="002D5714" w:rsidP="00900CD8">
      <w:pPr>
        <w:numPr>
          <w:ilvl w:val="0"/>
          <w:numId w:val="57"/>
        </w:numPr>
        <w:rPr>
          <w:rFonts w:ascii="Calibri" w:eastAsia="PMingLiU" w:hAnsi="Calibri" w:cs="Arial"/>
          <w:szCs w:val="22"/>
          <w:lang w:eastAsia="en-GB"/>
        </w:rPr>
      </w:pPr>
      <w:r w:rsidRPr="002D5714">
        <w:rPr>
          <w:rFonts w:ascii="Calibri" w:eastAsia="Times New Roman" w:hAnsi="Calibri" w:cs="Calibri"/>
          <w:lang w:val="fr-FR" w:eastAsia="en-GB"/>
        </w:rPr>
        <w:t>Ligne gratuite : 306</w:t>
      </w:r>
    </w:p>
    <w:p w14:paraId="3689DC79" w14:textId="77777777" w:rsidR="002D5714" w:rsidRPr="002D5714" w:rsidRDefault="002D5714" w:rsidP="00900CD8">
      <w:pPr>
        <w:numPr>
          <w:ilvl w:val="0"/>
          <w:numId w:val="57"/>
        </w:numPr>
        <w:rPr>
          <w:rFonts w:ascii="Calibri" w:eastAsia="PMingLiU" w:hAnsi="Calibri" w:cs="Arial"/>
          <w:szCs w:val="22"/>
          <w:lang w:eastAsia="en-GB"/>
        </w:rPr>
      </w:pPr>
      <w:r w:rsidRPr="002D5714">
        <w:rPr>
          <w:rFonts w:ascii="Calibri" w:eastAsia="Times New Roman" w:hAnsi="Calibri" w:cs="Calibri"/>
          <w:lang w:val="fr-FR" w:eastAsia="en-GB"/>
        </w:rPr>
        <w:t>Bureau d’alerte 1 : 077.845.479</w:t>
      </w:r>
    </w:p>
    <w:p w14:paraId="61DBD85C" w14:textId="77777777" w:rsidR="002D5714" w:rsidRPr="002D5714" w:rsidRDefault="002D5714" w:rsidP="00900CD8">
      <w:pPr>
        <w:numPr>
          <w:ilvl w:val="0"/>
          <w:numId w:val="57"/>
        </w:numPr>
        <w:rPr>
          <w:rFonts w:ascii="Calibri" w:eastAsia="PMingLiU" w:hAnsi="Calibri" w:cs="Arial"/>
          <w:szCs w:val="22"/>
          <w:lang w:eastAsia="en-GB"/>
        </w:rPr>
      </w:pPr>
      <w:r w:rsidRPr="002D5714">
        <w:rPr>
          <w:rFonts w:ascii="Calibri" w:eastAsia="Times New Roman" w:hAnsi="Calibri" w:cs="Calibri"/>
          <w:lang w:val="fr-FR" w:eastAsia="en-GB"/>
        </w:rPr>
        <w:t xml:space="preserve">Bureau d’alerte 2 : 077.842.507 </w:t>
      </w:r>
    </w:p>
    <w:p w14:paraId="4A08296C" w14:textId="77777777" w:rsidR="002D5714" w:rsidRPr="002D5714" w:rsidRDefault="002D5714" w:rsidP="00900CD8">
      <w:pPr>
        <w:rPr>
          <w:rFonts w:ascii="Calibri" w:eastAsia="Times New Roman" w:hAnsi="Calibri" w:cs="Calibri"/>
          <w:b/>
          <w:bCs/>
          <w:sz w:val="28"/>
          <w:szCs w:val="28"/>
          <w:lang w:val="fr-FR" w:eastAsia="en-GB"/>
        </w:rPr>
      </w:pPr>
    </w:p>
    <w:p w14:paraId="3629F292" w14:textId="77777777" w:rsidR="002D5714" w:rsidRPr="002D5714" w:rsidRDefault="002D5714" w:rsidP="00900CD8">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Comment utiliser un thermomètre</w:t>
      </w:r>
    </w:p>
    <w:p w14:paraId="024B98D2" w14:textId="77777777" w:rsidR="002D5714" w:rsidRPr="002D5714" w:rsidRDefault="002D5714" w:rsidP="00900CD8">
      <w:pPr>
        <w:numPr>
          <w:ilvl w:val="0"/>
          <w:numId w:val="58"/>
        </w:numPr>
        <w:rPr>
          <w:rFonts w:ascii="Calibri" w:eastAsia="PMingLiU" w:hAnsi="Calibri" w:cs="Arial"/>
          <w:szCs w:val="22"/>
          <w:lang w:val="fr-CA" w:eastAsia="en-GB"/>
        </w:rPr>
      </w:pPr>
      <w:r w:rsidRPr="002D5714">
        <w:rPr>
          <w:rFonts w:ascii="Calibri" w:eastAsia="Times New Roman" w:hAnsi="Calibri" w:cs="Calibri"/>
          <w:lang w:val="fr-FR" w:eastAsia="en-GB"/>
        </w:rPr>
        <w:t xml:space="preserve">La température normale du corps est de 37 °C. </w:t>
      </w:r>
    </w:p>
    <w:p w14:paraId="2932523C" w14:textId="77777777" w:rsidR="002D5714" w:rsidRPr="002D5714" w:rsidRDefault="002D5714" w:rsidP="00900CD8">
      <w:pPr>
        <w:numPr>
          <w:ilvl w:val="0"/>
          <w:numId w:val="58"/>
        </w:numPr>
        <w:rPr>
          <w:rFonts w:ascii="Calibri" w:eastAsia="PMingLiU" w:hAnsi="Calibri" w:cs="Arial"/>
          <w:szCs w:val="22"/>
          <w:lang w:val="fr-CA" w:eastAsia="en-GB"/>
        </w:rPr>
      </w:pPr>
      <w:r w:rsidRPr="002D5714">
        <w:rPr>
          <w:rFonts w:ascii="Calibri" w:eastAsia="Times New Roman" w:hAnsi="Calibri" w:cs="Calibri"/>
          <w:lang w:val="fr-FR" w:eastAsia="en-GB"/>
        </w:rPr>
        <w:t xml:space="preserve">La fièvre est souvent un signe que le corps lutte contre une maladie pouvant être infectieuse. </w:t>
      </w:r>
    </w:p>
    <w:p w14:paraId="0A898625" w14:textId="77777777" w:rsidR="002D5714" w:rsidRPr="002D5714" w:rsidRDefault="002D5714" w:rsidP="00900CD8">
      <w:pPr>
        <w:numPr>
          <w:ilvl w:val="0"/>
          <w:numId w:val="58"/>
        </w:numPr>
        <w:rPr>
          <w:rFonts w:ascii="Calibri" w:eastAsia="PMingLiU" w:hAnsi="Calibri" w:cs="Arial"/>
          <w:szCs w:val="22"/>
          <w:lang w:val="fr-CA" w:eastAsia="en-GB"/>
        </w:rPr>
      </w:pPr>
      <w:r w:rsidRPr="002D5714">
        <w:rPr>
          <w:rFonts w:ascii="Calibri" w:eastAsia="Times New Roman" w:hAnsi="Calibri" w:cs="Calibri"/>
          <w:lang w:val="fr-FR" w:eastAsia="en-GB"/>
        </w:rPr>
        <w:t xml:space="preserve">Nous utilisons une fièvre mesurée de </w:t>
      </w:r>
      <w:r w:rsidRPr="002D5714">
        <w:rPr>
          <w:rFonts w:ascii="Calibri" w:eastAsia="Times New Roman" w:hAnsi="Calibri" w:cs="Calibri"/>
          <w:b/>
          <w:bCs/>
          <w:lang w:val="fr-FR" w:eastAsia="en-GB"/>
        </w:rPr>
        <w:t>37,5 °C</w:t>
      </w:r>
      <w:r w:rsidRPr="002D5714">
        <w:rPr>
          <w:rFonts w:ascii="Calibri" w:eastAsia="Times New Roman" w:hAnsi="Calibri" w:cs="Calibri"/>
          <w:lang w:val="fr-FR" w:eastAsia="en-GB"/>
        </w:rPr>
        <w:t xml:space="preserve"> ou plus comme signe du virus Ébola (mieux vaut être prudent !).</w:t>
      </w:r>
    </w:p>
    <w:p w14:paraId="58EBE25A" w14:textId="77777777" w:rsidR="002D5714" w:rsidRPr="002D5714" w:rsidRDefault="002D5714" w:rsidP="00900CD8">
      <w:pPr>
        <w:numPr>
          <w:ilvl w:val="0"/>
          <w:numId w:val="58"/>
        </w:numPr>
        <w:rPr>
          <w:rFonts w:ascii="Calibri" w:eastAsia="PMingLiU" w:hAnsi="Calibri" w:cs="Arial"/>
          <w:szCs w:val="22"/>
          <w:lang w:val="fr-CA" w:eastAsia="en-GB"/>
        </w:rPr>
      </w:pPr>
      <w:r w:rsidRPr="002D5714">
        <w:rPr>
          <w:rFonts w:ascii="Calibri" w:eastAsia="Times New Roman" w:hAnsi="Calibri" w:cs="Calibri"/>
          <w:lang w:val="fr-FR" w:eastAsia="en-GB"/>
        </w:rPr>
        <w:t xml:space="preserve">Les personnes infectées peuvent manifester de la fièvre à n’importe quel moment pendant la période d’incubation (jusqu’à 21 jours). </w:t>
      </w:r>
    </w:p>
    <w:p w14:paraId="6C577747" w14:textId="77777777" w:rsidR="002D5714" w:rsidRPr="002D5714" w:rsidRDefault="002D5714" w:rsidP="00900CD8">
      <w:pPr>
        <w:numPr>
          <w:ilvl w:val="0"/>
          <w:numId w:val="58"/>
        </w:numPr>
        <w:rPr>
          <w:rFonts w:ascii="Calibri" w:eastAsia="PMingLiU" w:hAnsi="Calibri" w:cs="Arial"/>
          <w:szCs w:val="22"/>
          <w:lang w:val="fr-CA" w:eastAsia="en-GB"/>
        </w:rPr>
      </w:pPr>
      <w:r w:rsidRPr="002D5714">
        <w:rPr>
          <w:rFonts w:ascii="Calibri" w:eastAsia="Times New Roman" w:hAnsi="Calibri" w:cs="Calibri"/>
          <w:lang w:val="fr-FR" w:eastAsia="en-GB"/>
        </w:rPr>
        <w:t xml:space="preserve">L’usage d’un thermomètre sans contact est un moyen de prendre la température de quelqu’un sans toucher la personne. </w:t>
      </w:r>
    </w:p>
    <w:p w14:paraId="7287BDCD" w14:textId="77777777" w:rsidR="002D5714" w:rsidRPr="002D5714" w:rsidRDefault="002D5714">
      <w:pPr>
        <w:rPr>
          <w:rFonts w:ascii="Calibri" w:eastAsia="PMingLiU" w:hAnsi="Calibri" w:cs="Arial"/>
          <w:szCs w:val="22"/>
          <w:lang w:val="fr-CA" w:eastAsia="en-GB"/>
        </w:rPr>
      </w:pPr>
    </w:p>
    <w:p w14:paraId="5C894799" w14:textId="77777777" w:rsidR="002D5714" w:rsidRPr="002D5714" w:rsidRDefault="002D5714">
      <w:pPr>
        <w:rPr>
          <w:rFonts w:ascii="Calibri" w:eastAsia="PMingLiU" w:hAnsi="Calibri" w:cs="Arial"/>
          <w:szCs w:val="22"/>
          <w:lang w:val="fr-CA" w:eastAsia="en-GB"/>
        </w:rPr>
      </w:pPr>
    </w:p>
    <w:p w14:paraId="198CA89A" w14:textId="77777777" w:rsidR="002D5714" w:rsidRPr="002D5714" w:rsidRDefault="002D5714">
      <w:pPr>
        <w:rPr>
          <w:rFonts w:ascii="Calibri" w:eastAsia="PMingLiU" w:hAnsi="Calibri" w:cs="Arial"/>
          <w:szCs w:val="22"/>
          <w:lang w:val="fr-FR" w:eastAsia="en-GB"/>
        </w:rPr>
      </w:pPr>
      <w:r w:rsidRPr="002D5714">
        <w:rPr>
          <w:rFonts w:ascii="Calibri" w:eastAsia="Times New Roman" w:hAnsi="Calibri" w:cs="Calibri"/>
          <w:lang w:val="fr-FR" w:eastAsia="en-GB"/>
        </w:rPr>
        <w:t>Comment utiliser l’instrument</w:t>
      </w:r>
    </w:p>
    <w:p w14:paraId="442CE4A0" w14:textId="77777777" w:rsidR="002D5714" w:rsidRPr="002D5714" w:rsidRDefault="002D5714" w:rsidP="00900CD8">
      <w:pPr>
        <w:numPr>
          <w:ilvl w:val="0"/>
          <w:numId w:val="59"/>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Mettre le thermomètre en marche et attendre 15 minutes avant de l’utiliser. </w:t>
      </w:r>
    </w:p>
    <w:p w14:paraId="094BAF50" w14:textId="77777777" w:rsidR="002D5714" w:rsidRPr="002D5714" w:rsidRDefault="002D5714" w:rsidP="00900CD8">
      <w:pPr>
        <w:numPr>
          <w:ilvl w:val="1"/>
          <w:numId w:val="59"/>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Utiliser uniquement des </w:t>
      </w:r>
      <w:r w:rsidRPr="002D5714">
        <w:rPr>
          <w:rFonts w:ascii="Calibri" w:eastAsia="Times New Roman" w:hAnsi="Calibri" w:cs="Calibri"/>
          <w:b/>
          <w:bCs/>
          <w:lang w:val="fr-FR" w:eastAsia="en-GB"/>
        </w:rPr>
        <w:t xml:space="preserve">piles alcalines AAA. </w:t>
      </w:r>
    </w:p>
    <w:p w14:paraId="379133BB" w14:textId="77777777" w:rsidR="002D5714" w:rsidRPr="002D5714" w:rsidRDefault="002D5714" w:rsidP="00900CD8">
      <w:pPr>
        <w:numPr>
          <w:ilvl w:val="0"/>
          <w:numId w:val="59"/>
        </w:numPr>
        <w:rPr>
          <w:rFonts w:ascii="Calibri" w:eastAsia="PMingLiU" w:hAnsi="Calibri" w:cs="Arial"/>
          <w:szCs w:val="22"/>
          <w:lang w:val="fr-CA" w:eastAsia="en-GB"/>
        </w:rPr>
      </w:pPr>
      <w:r w:rsidRPr="002D5714">
        <w:rPr>
          <w:rFonts w:ascii="Calibri" w:eastAsia="Times New Roman" w:hAnsi="Calibri" w:cs="Calibri"/>
          <w:lang w:val="fr-FR" w:eastAsia="en-GB"/>
        </w:rPr>
        <w:t>Demander à la personne de tirer ses cheveux en arrière, d’enlever chapeau ou lunettes et de s’essuyer la sueur du front.</w:t>
      </w:r>
    </w:p>
    <w:p w14:paraId="587A5217" w14:textId="77777777" w:rsidR="002D5714" w:rsidRPr="002D5714" w:rsidRDefault="002D5714" w:rsidP="00900CD8">
      <w:pPr>
        <w:numPr>
          <w:ilvl w:val="0"/>
          <w:numId w:val="59"/>
        </w:numPr>
        <w:tabs>
          <w:tab w:val="num" w:pos="720"/>
        </w:tabs>
        <w:rPr>
          <w:rFonts w:ascii="Calibri" w:eastAsia="PMingLiU" w:hAnsi="Calibri" w:cs="Arial"/>
          <w:szCs w:val="22"/>
          <w:lang w:val="fr-CA" w:eastAsia="en-GB"/>
        </w:rPr>
      </w:pPr>
      <w:r w:rsidRPr="002D5714">
        <w:rPr>
          <w:rFonts w:ascii="Calibri" w:eastAsia="Times New Roman" w:hAnsi="Calibri" w:cs="Calibri"/>
          <w:lang w:val="fr-FR" w:eastAsia="en-GB"/>
        </w:rPr>
        <w:t>Cibler la partie au-dessus de l’extrémité des sourcils.</w:t>
      </w:r>
    </w:p>
    <w:p w14:paraId="67AC2F4B" w14:textId="77777777" w:rsidR="002D5714" w:rsidRPr="002D5714" w:rsidRDefault="002D5714" w:rsidP="00900CD8">
      <w:pPr>
        <w:numPr>
          <w:ilvl w:val="0"/>
          <w:numId w:val="59"/>
        </w:numPr>
        <w:tabs>
          <w:tab w:val="num" w:pos="720"/>
        </w:tabs>
        <w:rPr>
          <w:rFonts w:ascii="Calibri" w:eastAsia="PMingLiU" w:hAnsi="Calibri" w:cs="Arial"/>
          <w:szCs w:val="22"/>
          <w:lang w:val="fr-CA" w:eastAsia="en-GB"/>
        </w:rPr>
      </w:pPr>
      <w:r w:rsidRPr="002D5714">
        <w:rPr>
          <w:rFonts w:ascii="Calibri" w:eastAsia="Times New Roman" w:hAnsi="Calibri" w:cs="Calibri"/>
          <w:lang w:val="fr-FR" w:eastAsia="en-GB"/>
        </w:rPr>
        <w:t xml:space="preserve">Tenir le thermomètre à </w:t>
      </w:r>
      <w:r w:rsidRPr="002D5714">
        <w:rPr>
          <w:rFonts w:ascii="Calibri" w:eastAsia="Times New Roman" w:hAnsi="Calibri" w:cs="Calibri"/>
          <w:b/>
          <w:bCs/>
          <w:lang w:val="fr-FR" w:eastAsia="en-GB"/>
        </w:rPr>
        <w:t>5 cm</w:t>
      </w:r>
      <w:r w:rsidRPr="002D5714">
        <w:rPr>
          <w:rFonts w:ascii="Calibri" w:eastAsia="Times New Roman" w:hAnsi="Calibri" w:cs="Calibri"/>
          <w:lang w:val="fr-FR" w:eastAsia="en-GB"/>
        </w:rPr>
        <w:t xml:space="preserve"> de la personne.</w:t>
      </w:r>
    </w:p>
    <w:p w14:paraId="539F4283" w14:textId="77777777" w:rsidR="002D5714" w:rsidRPr="002D5714" w:rsidRDefault="002D5714" w:rsidP="00900CD8">
      <w:pPr>
        <w:numPr>
          <w:ilvl w:val="0"/>
          <w:numId w:val="59"/>
        </w:numPr>
        <w:tabs>
          <w:tab w:val="num" w:pos="720"/>
        </w:tabs>
        <w:rPr>
          <w:rFonts w:ascii="Calibri" w:eastAsia="PMingLiU" w:hAnsi="Calibri" w:cs="Arial"/>
          <w:szCs w:val="22"/>
          <w:lang w:val="fr-CA" w:eastAsia="en-GB"/>
        </w:rPr>
      </w:pPr>
      <w:r w:rsidRPr="002D5714">
        <w:rPr>
          <w:rFonts w:ascii="Calibri" w:eastAsia="Times New Roman" w:hAnsi="Calibri" w:cs="Calibri"/>
          <w:lang w:val="fr-FR" w:eastAsia="en-GB"/>
        </w:rPr>
        <w:t>Prendre la température de la personne.</w:t>
      </w:r>
    </w:p>
    <w:p w14:paraId="1FC77582" w14:textId="77777777" w:rsidR="002D5714" w:rsidRPr="002D5714" w:rsidRDefault="002D5714" w:rsidP="00900CD8">
      <w:pPr>
        <w:numPr>
          <w:ilvl w:val="0"/>
          <w:numId w:val="59"/>
        </w:numPr>
        <w:tabs>
          <w:tab w:val="num" w:pos="720"/>
        </w:tabs>
        <w:rPr>
          <w:rFonts w:ascii="Calibri" w:eastAsia="PMingLiU" w:hAnsi="Calibri" w:cs="Arial"/>
          <w:szCs w:val="22"/>
          <w:lang w:val="fr-CA" w:eastAsia="en-GB"/>
        </w:rPr>
      </w:pPr>
      <w:r w:rsidRPr="002D5714">
        <w:rPr>
          <w:rFonts w:ascii="Calibri" w:eastAsia="Times New Roman" w:hAnsi="Calibri" w:cs="Calibri"/>
          <w:lang w:val="fr-FR" w:eastAsia="en-GB"/>
        </w:rPr>
        <w:t xml:space="preserve">Si </w:t>
      </w:r>
      <w:r w:rsidRPr="002D5714">
        <w:rPr>
          <w:rFonts w:ascii="Calibri" w:eastAsia="Times New Roman" w:hAnsi="Calibri" w:cs="Calibri"/>
          <w:b/>
          <w:bCs/>
          <w:lang w:val="fr-FR" w:eastAsia="en-GB"/>
        </w:rPr>
        <w:t>elle est inférieure à 35 °C</w:t>
      </w:r>
      <w:r w:rsidRPr="002D5714">
        <w:rPr>
          <w:rFonts w:ascii="Calibri" w:eastAsia="Times New Roman" w:hAnsi="Calibri" w:cs="Calibri"/>
          <w:lang w:val="fr-FR" w:eastAsia="en-GB"/>
        </w:rPr>
        <w:t>, reprendre la température.</w:t>
      </w:r>
    </w:p>
    <w:p w14:paraId="41F3AE81" w14:textId="77777777" w:rsidR="002D5714" w:rsidRPr="002D5714" w:rsidRDefault="002D5714" w:rsidP="00900CD8">
      <w:pPr>
        <w:numPr>
          <w:ilvl w:val="0"/>
          <w:numId w:val="59"/>
        </w:numPr>
        <w:tabs>
          <w:tab w:val="num" w:pos="720"/>
        </w:tabs>
        <w:rPr>
          <w:rFonts w:ascii="Calibri" w:eastAsia="PMingLiU" w:hAnsi="Calibri" w:cs="Arial"/>
          <w:szCs w:val="22"/>
          <w:lang w:val="fr-CA" w:eastAsia="en-GB"/>
        </w:rPr>
      </w:pPr>
      <w:r w:rsidRPr="002D5714">
        <w:rPr>
          <w:rFonts w:ascii="Calibri" w:eastAsia="Times New Roman" w:hAnsi="Calibri" w:cs="Calibri"/>
          <w:lang w:val="fr-FR" w:eastAsia="en-GB"/>
        </w:rPr>
        <w:t xml:space="preserve">Si </w:t>
      </w:r>
      <w:r w:rsidRPr="002D5714">
        <w:rPr>
          <w:rFonts w:ascii="Calibri" w:eastAsia="Times New Roman" w:hAnsi="Calibri" w:cs="Calibri"/>
          <w:b/>
          <w:bCs/>
          <w:lang w:val="fr-FR" w:eastAsia="en-GB"/>
        </w:rPr>
        <w:t>elle est de 37,5 °C ou plus</w:t>
      </w:r>
      <w:r w:rsidRPr="002D5714">
        <w:rPr>
          <w:rFonts w:ascii="Calibri" w:eastAsia="Times New Roman" w:hAnsi="Calibri" w:cs="Calibri"/>
          <w:lang w:val="fr-FR" w:eastAsia="en-GB"/>
        </w:rPr>
        <w:t xml:space="preserve">, isoler la personne en la maintenant à une distance d’au moins </w:t>
      </w:r>
      <w:r w:rsidRPr="002D5714">
        <w:rPr>
          <w:rFonts w:ascii="Calibri" w:eastAsia="Times New Roman" w:hAnsi="Calibri" w:cs="Calibri"/>
          <w:u w:val="single"/>
          <w:lang w:val="fr-FR" w:eastAsia="en-GB"/>
        </w:rPr>
        <w:t>1 mètre</w:t>
      </w:r>
      <w:r w:rsidRPr="002D5714">
        <w:rPr>
          <w:rFonts w:ascii="Calibri" w:eastAsia="Times New Roman" w:hAnsi="Calibri" w:cs="Calibri"/>
          <w:lang w:val="fr-FR" w:eastAsia="en-GB"/>
        </w:rPr>
        <w:t xml:space="preserve"> des autres. </w:t>
      </w:r>
    </w:p>
    <w:p w14:paraId="3C7A6022" w14:textId="77777777" w:rsidR="002D5714" w:rsidRPr="002D5714" w:rsidRDefault="002D5714" w:rsidP="00900CD8">
      <w:pPr>
        <w:rPr>
          <w:rFonts w:ascii="Calibri" w:eastAsia="PMingLiU" w:hAnsi="Calibri" w:cs="Arial"/>
          <w:b/>
          <w:szCs w:val="22"/>
          <w:lang w:val="en-GB" w:eastAsia="en-GB"/>
        </w:rPr>
      </w:pPr>
      <w:r w:rsidRPr="002D5714">
        <w:rPr>
          <w:rFonts w:ascii="Calibri" w:eastAsia="PMingLiU" w:hAnsi="Calibri" w:cs="Arial"/>
          <w:b/>
          <w:noProof/>
          <w:szCs w:val="22"/>
        </w:rPr>
        <w:drawing>
          <wp:inline distT="0" distB="0" distL="0" distR="0" wp14:anchorId="782FF610" wp14:editId="62FFC8F5">
            <wp:extent cx="4476750" cy="1781175"/>
            <wp:effectExtent l="0" t="0" r="0" b="952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1781175"/>
                    </a:xfrm>
                    <a:prstGeom prst="rect">
                      <a:avLst/>
                    </a:prstGeom>
                    <a:noFill/>
                    <a:ln>
                      <a:noFill/>
                    </a:ln>
                  </pic:spPr>
                </pic:pic>
              </a:graphicData>
            </a:graphic>
          </wp:inline>
        </w:drawing>
      </w:r>
    </w:p>
    <w:p w14:paraId="3DC6C6F4" w14:textId="77777777" w:rsidR="002D5714" w:rsidRPr="002D5714" w:rsidRDefault="002D5714">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Réapprovisionnement et logistique</w:t>
      </w:r>
    </w:p>
    <w:p w14:paraId="0DCB46E0" w14:textId="77777777" w:rsidR="002D5714" w:rsidRPr="002D5714" w:rsidRDefault="002D5714" w:rsidP="00900CD8">
      <w:pPr>
        <w:numPr>
          <w:ilvl w:val="0"/>
          <w:numId w:val="60"/>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Les responsables pourront satisfaire vos besoins en cas de problème quelconque en se déplaçant en motocyclette.</w:t>
      </w:r>
    </w:p>
    <w:p w14:paraId="4A6AB6BF" w14:textId="77777777" w:rsidR="002D5714" w:rsidRPr="002D5714" w:rsidRDefault="002D5714" w:rsidP="00900CD8">
      <w:pPr>
        <w:numPr>
          <w:ilvl w:val="0"/>
          <w:numId w:val="60"/>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Les demandes de piles, de rations ou d’autres fournitures doivent être sujettes à votre filière hiérarchique.</w:t>
      </w:r>
    </w:p>
    <w:p w14:paraId="7AF1A024" w14:textId="77777777" w:rsidR="002D5714" w:rsidRPr="002D5714" w:rsidRDefault="002D5714" w:rsidP="00900CD8">
      <w:pPr>
        <w:numPr>
          <w:ilvl w:val="0"/>
          <w:numId w:val="60"/>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Vous devez maintenir des stocks de rations et de piles pouvant durer au moins une semaine.</w:t>
      </w:r>
    </w:p>
    <w:p w14:paraId="22996E5B" w14:textId="77777777" w:rsidR="002D5714" w:rsidRPr="002D5714" w:rsidRDefault="002D5714">
      <w:pPr>
        <w:rPr>
          <w:rFonts w:ascii="Calibri" w:eastAsia="PMingLiU" w:hAnsi="Calibri" w:cs="Arial"/>
          <w:szCs w:val="22"/>
          <w:lang w:val="fr-CA" w:eastAsia="en-GB"/>
        </w:rPr>
      </w:pPr>
    </w:p>
    <w:p w14:paraId="732B5479" w14:textId="77777777" w:rsidR="002D5714" w:rsidRPr="002D5714" w:rsidRDefault="002D5714">
      <w:pPr>
        <w:rPr>
          <w:rFonts w:ascii="Calibri" w:eastAsia="PMingLiU" w:hAnsi="Calibri" w:cs="Arial"/>
          <w:b/>
          <w:sz w:val="28"/>
          <w:szCs w:val="22"/>
          <w:lang w:val="en-GB" w:eastAsia="en-GB"/>
        </w:rPr>
      </w:pPr>
      <w:r w:rsidRPr="002D5714">
        <w:rPr>
          <w:rFonts w:ascii="Calibri" w:eastAsia="Times New Roman" w:hAnsi="Calibri" w:cs="Calibri"/>
          <w:b/>
          <w:bCs/>
          <w:sz w:val="28"/>
          <w:szCs w:val="28"/>
          <w:lang w:val="fr-FR" w:eastAsia="en-GB"/>
        </w:rPr>
        <w:t>Rassemblement des informations</w:t>
      </w:r>
    </w:p>
    <w:p w14:paraId="6054A7BB" w14:textId="77777777" w:rsidR="002D5714" w:rsidRPr="002D5714" w:rsidRDefault="002D5714" w:rsidP="00900CD8">
      <w:pPr>
        <w:numPr>
          <w:ilvl w:val="0"/>
          <w:numId w:val="61"/>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Il n’y a aucune exigence officielle de recueil de routine des informations, mais vous avez l’obligation de maintenir un journal avec le nombre de personnes traversant la frontière et d’en faire rapport chaque semaine.</w:t>
      </w:r>
    </w:p>
    <w:p w14:paraId="2AB3A1DA" w14:textId="77777777" w:rsidR="002D5714" w:rsidRPr="002D5714" w:rsidRDefault="002D5714" w:rsidP="00900CD8">
      <w:pPr>
        <w:numPr>
          <w:ilvl w:val="0"/>
          <w:numId w:val="61"/>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 xml:space="preserve">En outre, comme vous prenez la température des personnes, vous devez leur demander leur lieu d’origine, leur destination et la raison de leur déplacement afin de développer un modèle pour l’évaluation des modes de vie, que vous devez également soumettre chaque semaine. </w:t>
      </w:r>
    </w:p>
    <w:p w14:paraId="4854F7C5" w14:textId="77777777" w:rsidR="002D5714" w:rsidRPr="002D5714" w:rsidRDefault="002D5714">
      <w:pPr>
        <w:rPr>
          <w:rFonts w:ascii="Calibri" w:eastAsia="PMingLiU" w:hAnsi="Calibri" w:cs="Arial"/>
          <w:b/>
          <w:szCs w:val="22"/>
          <w:lang w:val="fr-CA" w:eastAsia="en-GB"/>
        </w:rPr>
      </w:pPr>
    </w:p>
    <w:p w14:paraId="7EB216A8" w14:textId="77777777" w:rsidR="002D5714" w:rsidRPr="002D5714" w:rsidRDefault="002D5714">
      <w:pPr>
        <w:rPr>
          <w:rFonts w:ascii="Calibri" w:eastAsia="PMingLiU" w:hAnsi="Calibri" w:cs="Arial"/>
          <w:b/>
          <w:szCs w:val="22"/>
          <w:lang w:val="fr-CA" w:eastAsia="en-GB"/>
        </w:rPr>
      </w:pPr>
    </w:p>
    <w:p w14:paraId="111C1FEC" w14:textId="77777777" w:rsidR="002D5714" w:rsidRPr="002D5714" w:rsidRDefault="002D5714">
      <w:pPr>
        <w:rPr>
          <w:rFonts w:ascii="Calibri" w:eastAsia="PMingLiU" w:hAnsi="Calibri" w:cs="Arial"/>
          <w:b/>
          <w:szCs w:val="22"/>
          <w:lang w:val="fr-CA" w:eastAsia="en-GB"/>
        </w:rPr>
      </w:pPr>
    </w:p>
    <w:p w14:paraId="7F0161FE" w14:textId="77777777" w:rsidR="002D5714" w:rsidRPr="002D5714" w:rsidRDefault="002D5714">
      <w:pPr>
        <w:rPr>
          <w:rFonts w:ascii="Calibri" w:eastAsia="PMingLiU" w:hAnsi="Calibri" w:cs="Arial"/>
          <w:b/>
          <w:szCs w:val="22"/>
          <w:lang w:val="fr-CA" w:eastAsia="en-GB"/>
        </w:rPr>
      </w:pPr>
    </w:p>
    <w:p w14:paraId="2B1D7E8C" w14:textId="77777777" w:rsidR="00037C4F" w:rsidRDefault="00037C4F">
      <w:pPr>
        <w:rPr>
          <w:rFonts w:ascii="Calibri" w:eastAsia="Times New Roman" w:hAnsi="Calibri" w:cs="Calibri"/>
          <w:b/>
          <w:bCs/>
          <w:sz w:val="28"/>
          <w:szCs w:val="28"/>
          <w:lang w:val="fr-FR" w:eastAsia="en-GB"/>
        </w:rPr>
      </w:pPr>
    </w:p>
    <w:p w14:paraId="7319557E" w14:textId="77777777" w:rsidR="002D5714" w:rsidRPr="002D5714" w:rsidRDefault="002D5714">
      <w:pPr>
        <w:rPr>
          <w:rFonts w:ascii="Calibri" w:eastAsia="PMingLiU" w:hAnsi="Calibri" w:cs="Arial"/>
          <w:b/>
          <w:sz w:val="28"/>
          <w:szCs w:val="22"/>
          <w:lang w:val="fr-CA" w:eastAsia="en-GB"/>
        </w:rPr>
      </w:pPr>
      <w:r w:rsidRPr="002D5714">
        <w:rPr>
          <w:rFonts w:ascii="Calibri" w:eastAsia="Times New Roman" w:hAnsi="Calibri" w:cs="Calibri"/>
          <w:b/>
          <w:bCs/>
          <w:sz w:val="28"/>
          <w:szCs w:val="28"/>
          <w:lang w:val="fr-FR" w:eastAsia="en-GB"/>
        </w:rPr>
        <w:t>Prise en charge de la zone d’isolement</w:t>
      </w:r>
    </w:p>
    <w:p w14:paraId="2DF1A528" w14:textId="77777777" w:rsidR="002D5714" w:rsidRPr="002D5714" w:rsidRDefault="002D5714" w:rsidP="00900CD8">
      <w:pPr>
        <w:numPr>
          <w:ilvl w:val="0"/>
          <w:numId w:val="62"/>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Si vous avez besoin d’utiliser votre zone de décontamination, celle-ci devra être décontaminée par la suite.</w:t>
      </w:r>
    </w:p>
    <w:p w14:paraId="2A59B60A" w14:textId="77777777" w:rsidR="002D5714" w:rsidRPr="002D5714" w:rsidRDefault="002D5714" w:rsidP="00900CD8">
      <w:pPr>
        <w:numPr>
          <w:ilvl w:val="0"/>
          <w:numId w:val="62"/>
        </w:numPr>
        <w:contextualSpacing/>
        <w:rPr>
          <w:rFonts w:ascii="Calibri" w:eastAsia="PMingLiU" w:hAnsi="Calibri" w:cs="Arial"/>
          <w:szCs w:val="22"/>
          <w:lang w:val="fr-CA" w:eastAsia="en-GB"/>
        </w:rPr>
      </w:pPr>
      <w:r w:rsidRPr="002D5714">
        <w:rPr>
          <w:rFonts w:ascii="Calibri" w:eastAsia="Times New Roman" w:hAnsi="Calibri" w:cs="Calibri"/>
          <w:lang w:val="fr-FR" w:eastAsia="en-GB"/>
        </w:rPr>
        <w:t>Vous devrez organiser ceci en suivant votre filière hiérarchique qui fera la liaison avec le DERC.</w:t>
      </w:r>
    </w:p>
    <w:p w14:paraId="4EA9748D" w14:textId="77777777" w:rsidR="002D5714" w:rsidRPr="002D5714" w:rsidRDefault="002D5714" w:rsidP="002D5714">
      <w:pPr>
        <w:spacing w:after="200" w:line="276" w:lineRule="auto"/>
        <w:rPr>
          <w:rFonts w:ascii="Calibri" w:eastAsia="PMingLiU" w:hAnsi="Calibri" w:cs="Arial"/>
          <w:b/>
          <w:szCs w:val="22"/>
          <w:lang w:val="fr-CA" w:eastAsia="en-GB"/>
        </w:rPr>
      </w:pPr>
    </w:p>
    <w:p w14:paraId="55E913AC" w14:textId="77777777" w:rsidR="002D5714" w:rsidRPr="002D5714" w:rsidRDefault="002D5714" w:rsidP="002D5714">
      <w:pPr>
        <w:spacing w:after="200" w:line="276" w:lineRule="auto"/>
        <w:rPr>
          <w:rFonts w:ascii="Calibri" w:eastAsia="PMingLiU" w:hAnsi="Calibri" w:cs="Arial"/>
          <w:b/>
          <w:szCs w:val="22"/>
          <w:lang w:val="fr-CA" w:eastAsia="en-GB"/>
        </w:rPr>
      </w:pPr>
    </w:p>
    <w:p w14:paraId="69A48E24" w14:textId="77777777" w:rsidR="002D5714" w:rsidRPr="002D5714" w:rsidRDefault="002D5714" w:rsidP="002D5714">
      <w:pPr>
        <w:spacing w:after="200" w:line="276" w:lineRule="auto"/>
        <w:rPr>
          <w:rFonts w:ascii="Calibri" w:eastAsia="PMingLiU" w:hAnsi="Calibri" w:cs="Arial"/>
          <w:b/>
          <w:szCs w:val="22"/>
          <w:lang w:val="fr-CA" w:eastAsia="en-GB"/>
        </w:rPr>
      </w:pPr>
    </w:p>
    <w:p w14:paraId="68EDE10E" w14:textId="77777777" w:rsidR="002D5714" w:rsidRPr="002D5714" w:rsidRDefault="002D5714" w:rsidP="002D5714">
      <w:pPr>
        <w:spacing w:after="200" w:line="276" w:lineRule="auto"/>
        <w:rPr>
          <w:rFonts w:ascii="Calibri" w:eastAsia="PMingLiU" w:hAnsi="Calibri" w:cs="Arial"/>
          <w:b/>
          <w:szCs w:val="22"/>
          <w:lang w:val="fr-CA" w:eastAsia="en-GB"/>
        </w:rPr>
      </w:pPr>
    </w:p>
    <w:p w14:paraId="08DFB819" w14:textId="77777777" w:rsidR="002D5714" w:rsidRPr="002D5714" w:rsidRDefault="002D5714" w:rsidP="002D5714">
      <w:pPr>
        <w:spacing w:after="200" w:line="276" w:lineRule="auto"/>
        <w:rPr>
          <w:rFonts w:ascii="Calibri" w:eastAsia="PMingLiU" w:hAnsi="Calibri" w:cs="Arial"/>
          <w:b/>
          <w:szCs w:val="22"/>
          <w:lang w:val="fr-CA" w:eastAsia="en-GB"/>
        </w:rPr>
      </w:pPr>
    </w:p>
    <w:p w14:paraId="09A63AAD" w14:textId="77777777" w:rsidR="002D5714" w:rsidRPr="002D5714" w:rsidRDefault="002D5714" w:rsidP="002D5714">
      <w:pPr>
        <w:spacing w:after="200" w:line="276" w:lineRule="auto"/>
        <w:rPr>
          <w:rFonts w:ascii="Calibri" w:eastAsia="PMingLiU" w:hAnsi="Calibri" w:cs="Arial"/>
          <w:b/>
          <w:szCs w:val="22"/>
          <w:lang w:val="fr-CA" w:eastAsia="en-GB"/>
        </w:rPr>
      </w:pPr>
    </w:p>
    <w:p w14:paraId="4925BD0A" w14:textId="77777777" w:rsidR="002D5714" w:rsidRPr="002D5714" w:rsidRDefault="002D5714" w:rsidP="002D5714">
      <w:pPr>
        <w:spacing w:after="200" w:line="276" w:lineRule="auto"/>
        <w:rPr>
          <w:rFonts w:ascii="Calibri" w:eastAsia="PMingLiU" w:hAnsi="Calibri" w:cs="Arial"/>
          <w:b/>
          <w:szCs w:val="22"/>
          <w:lang w:val="fr-CA" w:eastAsia="en-GB"/>
        </w:rPr>
      </w:pPr>
    </w:p>
    <w:p w14:paraId="23958127" w14:textId="77777777" w:rsidR="002D5714" w:rsidRPr="002D5714" w:rsidRDefault="002D5714" w:rsidP="002D5714">
      <w:pPr>
        <w:spacing w:after="200" w:line="276" w:lineRule="auto"/>
        <w:rPr>
          <w:rFonts w:ascii="Calibri" w:eastAsia="PMingLiU" w:hAnsi="Calibri" w:cs="Arial"/>
          <w:b/>
          <w:szCs w:val="22"/>
          <w:lang w:val="fr-CA" w:eastAsia="en-GB"/>
        </w:rPr>
      </w:pPr>
    </w:p>
    <w:tbl>
      <w:tblPr>
        <w:tblW w:w="6948" w:type="dxa"/>
        <w:tblBorders>
          <w:top w:val="single" w:sz="8" w:space="0" w:color="000000"/>
          <w:bottom w:val="single" w:sz="8" w:space="0" w:color="000000"/>
        </w:tblBorders>
        <w:tblLook w:val="00A0" w:firstRow="1" w:lastRow="0" w:firstColumn="1" w:lastColumn="0" w:noHBand="0" w:noVBand="0"/>
      </w:tblPr>
      <w:tblGrid>
        <w:gridCol w:w="6948"/>
      </w:tblGrid>
      <w:tr w:rsidR="002D5714" w:rsidRPr="002D5714" w14:paraId="44D22932" w14:textId="77777777" w:rsidTr="00900CD8">
        <w:tc>
          <w:tcPr>
            <w:tcW w:w="6948" w:type="dxa"/>
            <w:tcBorders>
              <w:top w:val="nil"/>
              <w:left w:val="nil"/>
              <w:bottom w:val="single" w:sz="8" w:space="0" w:color="000000"/>
              <w:right w:val="nil"/>
            </w:tcBorders>
            <w:hideMark/>
          </w:tcPr>
          <w:p w14:paraId="7726408C" w14:textId="77777777" w:rsidR="0093137E" w:rsidRDefault="0093137E" w:rsidP="00900CD8">
            <w:pPr>
              <w:rPr>
                <w:rFonts w:ascii="Calibri" w:eastAsia="Times New Roman" w:hAnsi="Calibri" w:cs="Calibri"/>
                <w:b/>
                <w:bCs/>
                <w:sz w:val="36"/>
                <w:szCs w:val="36"/>
                <w:lang w:val="fr-FR" w:eastAsia="en-GB"/>
              </w:rPr>
            </w:pPr>
          </w:p>
          <w:p w14:paraId="11872197" w14:textId="77777777" w:rsidR="0093137E" w:rsidRDefault="0093137E" w:rsidP="00900CD8">
            <w:pPr>
              <w:rPr>
                <w:rFonts w:ascii="Calibri" w:eastAsia="Times New Roman" w:hAnsi="Calibri" w:cs="Calibri"/>
                <w:b/>
                <w:bCs/>
                <w:sz w:val="36"/>
                <w:szCs w:val="36"/>
                <w:lang w:val="fr-FR" w:eastAsia="en-GB"/>
              </w:rPr>
            </w:pPr>
          </w:p>
          <w:p w14:paraId="08205289" w14:textId="77777777" w:rsidR="0093137E" w:rsidRDefault="0093137E" w:rsidP="00900CD8">
            <w:pPr>
              <w:rPr>
                <w:rFonts w:ascii="Calibri" w:eastAsia="Times New Roman" w:hAnsi="Calibri" w:cs="Calibri"/>
                <w:b/>
                <w:bCs/>
                <w:sz w:val="36"/>
                <w:szCs w:val="36"/>
                <w:lang w:val="fr-FR" w:eastAsia="en-GB"/>
              </w:rPr>
            </w:pPr>
          </w:p>
          <w:p w14:paraId="5B0AF97B" w14:textId="77777777" w:rsidR="0093137E" w:rsidRDefault="0093137E" w:rsidP="00900CD8">
            <w:pPr>
              <w:rPr>
                <w:rFonts w:ascii="Calibri" w:eastAsia="Times New Roman" w:hAnsi="Calibri" w:cs="Calibri"/>
                <w:b/>
                <w:bCs/>
                <w:sz w:val="36"/>
                <w:szCs w:val="36"/>
                <w:lang w:val="fr-FR" w:eastAsia="en-GB"/>
              </w:rPr>
            </w:pPr>
          </w:p>
          <w:p w14:paraId="4F11C7DD" w14:textId="77777777" w:rsidR="0093137E" w:rsidRDefault="0093137E" w:rsidP="00900CD8">
            <w:pPr>
              <w:rPr>
                <w:rFonts w:ascii="Calibri" w:eastAsia="Times New Roman" w:hAnsi="Calibri" w:cs="Calibri"/>
                <w:b/>
                <w:bCs/>
                <w:sz w:val="36"/>
                <w:szCs w:val="36"/>
                <w:lang w:val="fr-FR" w:eastAsia="en-GB"/>
              </w:rPr>
            </w:pPr>
          </w:p>
          <w:p w14:paraId="782D3D80" w14:textId="77777777" w:rsidR="0093137E" w:rsidRDefault="0093137E" w:rsidP="00900CD8">
            <w:pPr>
              <w:rPr>
                <w:rFonts w:ascii="Calibri" w:eastAsia="Times New Roman" w:hAnsi="Calibri" w:cs="Calibri"/>
                <w:b/>
                <w:bCs/>
                <w:sz w:val="36"/>
                <w:szCs w:val="36"/>
                <w:lang w:val="fr-FR" w:eastAsia="en-GB"/>
              </w:rPr>
            </w:pPr>
          </w:p>
          <w:p w14:paraId="7A9D5DFE" w14:textId="77777777" w:rsidR="0093137E" w:rsidRDefault="0093137E" w:rsidP="00900CD8">
            <w:pPr>
              <w:rPr>
                <w:rFonts w:ascii="Calibri" w:eastAsia="Times New Roman" w:hAnsi="Calibri" w:cs="Calibri"/>
                <w:b/>
                <w:bCs/>
                <w:sz w:val="36"/>
                <w:szCs w:val="36"/>
                <w:lang w:val="fr-FR" w:eastAsia="en-GB"/>
              </w:rPr>
            </w:pPr>
          </w:p>
          <w:p w14:paraId="022BDB47" w14:textId="77777777" w:rsidR="0093137E" w:rsidRDefault="0093137E" w:rsidP="00900CD8">
            <w:pPr>
              <w:rPr>
                <w:rFonts w:ascii="Calibri" w:eastAsia="Times New Roman" w:hAnsi="Calibri" w:cs="Calibri"/>
                <w:b/>
                <w:bCs/>
                <w:sz w:val="36"/>
                <w:szCs w:val="36"/>
                <w:lang w:val="fr-FR" w:eastAsia="en-GB"/>
              </w:rPr>
            </w:pPr>
          </w:p>
          <w:p w14:paraId="39888139" w14:textId="77777777" w:rsidR="002D5714" w:rsidRPr="002D5714" w:rsidRDefault="002D5714" w:rsidP="00900CD8">
            <w:pPr>
              <w:rPr>
                <w:rFonts w:ascii="Cambria" w:eastAsia="PMingLiU" w:hAnsi="Cambria"/>
                <w:b/>
                <w:bCs/>
                <w:color w:val="000000"/>
                <w:sz w:val="36"/>
                <w:szCs w:val="22"/>
                <w:lang w:val="fr-CA" w:eastAsia="en-GB"/>
              </w:rPr>
            </w:pPr>
            <w:r w:rsidRPr="002D5714">
              <w:rPr>
                <w:rFonts w:ascii="Calibri" w:eastAsia="Times New Roman" w:hAnsi="Calibri" w:cs="Calibri"/>
                <w:b/>
                <w:bCs/>
                <w:sz w:val="36"/>
                <w:szCs w:val="36"/>
                <w:lang w:val="fr-FR" w:eastAsia="en-GB"/>
              </w:rPr>
              <w:t>ORGANIGRAMME DES PRISES DE DÉCISION</w:t>
            </w:r>
          </w:p>
        </w:tc>
      </w:tr>
      <w:tr w:rsidR="002D5714" w:rsidRPr="002D5714" w14:paraId="3D5DF155" w14:textId="77777777" w:rsidTr="00900CD8">
        <w:tc>
          <w:tcPr>
            <w:tcW w:w="6948" w:type="dxa"/>
            <w:tcBorders>
              <w:top w:val="nil"/>
              <w:left w:val="nil"/>
              <w:bottom w:val="nil"/>
              <w:right w:val="nil"/>
            </w:tcBorders>
            <w:shd w:val="clear" w:color="auto" w:fill="C0C0C0"/>
            <w:hideMark/>
          </w:tcPr>
          <w:p w14:paraId="343E678B" w14:textId="77777777" w:rsidR="002D5714" w:rsidRDefault="002D5714" w:rsidP="00152112">
            <w:pPr>
              <w:jc w:val="center"/>
              <w:rPr>
                <w:rFonts w:ascii="Calibri" w:eastAsia="Times New Roman" w:hAnsi="Calibri" w:cs="Calibri"/>
                <w:bCs/>
                <w:sz w:val="32"/>
                <w:szCs w:val="32"/>
                <w:lang w:val="fr-FR" w:eastAsia="en-GB"/>
              </w:rPr>
            </w:pPr>
            <w:r w:rsidRPr="002D5714">
              <w:rPr>
                <w:rFonts w:ascii="Calibri" w:eastAsia="Times New Roman" w:hAnsi="Calibri" w:cs="Calibri"/>
                <w:bCs/>
                <w:sz w:val="32"/>
                <w:szCs w:val="32"/>
                <w:lang w:val="fr-FR" w:eastAsia="en-GB"/>
              </w:rPr>
              <w:t>Si une haute température est enregistrée (plus de 37,5 degrés centigrades).</w:t>
            </w:r>
          </w:p>
          <w:p w14:paraId="4D833390" w14:textId="0D9D84F1"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PMingLiU" w:hAnsi="Calibri" w:cs="Arial"/>
                <w:noProof/>
                <w:sz w:val="22"/>
                <w:szCs w:val="22"/>
              </w:rPr>
              <mc:AlternateContent>
                <mc:Choice Requires="wps">
                  <w:drawing>
                    <wp:anchor distT="0" distB="0" distL="114300" distR="114300" simplePos="0" relativeHeight="251662336" behindDoc="0" locked="0" layoutInCell="1" allowOverlap="1" wp14:anchorId="09CD56AB" wp14:editId="1CD66D34">
                      <wp:simplePos x="0" y="0"/>
                      <wp:positionH relativeFrom="column">
                        <wp:posOffset>2232025</wp:posOffset>
                      </wp:positionH>
                      <wp:positionV relativeFrom="paragraph">
                        <wp:posOffset>36195</wp:posOffset>
                      </wp:positionV>
                      <wp:extent cx="128270" cy="197485"/>
                      <wp:effectExtent l="19050" t="0" r="43180" b="3111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0C4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175.75pt;margin-top:2.85pt;width:10.1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" fillcolor="#a5a5a5"/>
                  </w:pict>
                </mc:Fallback>
              </mc:AlternateContent>
            </w:r>
          </w:p>
        </w:tc>
      </w:tr>
      <w:tr w:rsidR="002D5714" w:rsidRPr="002D5714" w14:paraId="15A9BB13" w14:textId="77777777" w:rsidTr="00900CD8">
        <w:tc>
          <w:tcPr>
            <w:tcW w:w="6948" w:type="dxa"/>
            <w:tcBorders>
              <w:top w:val="nil"/>
              <w:left w:val="nil"/>
              <w:bottom w:val="nil"/>
              <w:right w:val="nil"/>
            </w:tcBorders>
            <w:hideMark/>
          </w:tcPr>
          <w:p w14:paraId="5800116F" w14:textId="62CA083B" w:rsidR="002D5714" w:rsidRPr="002D5714" w:rsidRDefault="002D5714" w:rsidP="00152112">
            <w:pPr>
              <w:jc w:val="center"/>
              <w:rPr>
                <w:rFonts w:ascii="Calibri" w:eastAsia="PMingLiU" w:hAnsi="Calibri" w:cs="Arial"/>
                <w:b/>
                <w:bCs/>
                <w:color w:val="000000"/>
                <w:sz w:val="32"/>
                <w:szCs w:val="32"/>
                <w:lang w:val="fr-CA" w:eastAsia="en-GB"/>
              </w:rPr>
            </w:pPr>
          </w:p>
        </w:tc>
      </w:tr>
      <w:tr w:rsidR="002D5714" w:rsidRPr="002D5714" w14:paraId="16013CB9" w14:textId="77777777" w:rsidTr="00900CD8">
        <w:tc>
          <w:tcPr>
            <w:tcW w:w="6948" w:type="dxa"/>
            <w:tcBorders>
              <w:top w:val="nil"/>
              <w:left w:val="nil"/>
              <w:bottom w:val="nil"/>
              <w:right w:val="nil"/>
            </w:tcBorders>
            <w:shd w:val="clear" w:color="auto" w:fill="C0C0C0"/>
            <w:hideMark/>
          </w:tcPr>
          <w:p w14:paraId="692835EF" w14:textId="77777777" w:rsidR="002D5714" w:rsidRDefault="002D5714" w:rsidP="00152112">
            <w:pPr>
              <w:jc w:val="center"/>
              <w:rPr>
                <w:rFonts w:ascii="Calibri" w:eastAsia="Times New Roman" w:hAnsi="Calibri" w:cs="Calibri"/>
                <w:bCs/>
                <w:sz w:val="32"/>
                <w:szCs w:val="32"/>
                <w:lang w:val="fr-FR" w:eastAsia="en-GB"/>
              </w:rPr>
            </w:pPr>
            <w:r w:rsidRPr="002D5714">
              <w:rPr>
                <w:rFonts w:ascii="Calibri" w:eastAsia="Times New Roman" w:hAnsi="Calibri" w:cs="Calibri"/>
                <w:bCs/>
                <w:sz w:val="32"/>
                <w:szCs w:val="32"/>
                <w:lang w:val="fr-FR" w:eastAsia="en-GB"/>
              </w:rPr>
              <w:t>Placez la personne dans une tente d’isolement pendant 10 minutes et donnez-lui de l’eau.</w:t>
            </w:r>
          </w:p>
          <w:p w14:paraId="2B7A8306" w14:textId="4371DA83"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PMingLiU" w:hAnsi="Calibri" w:cs="Arial"/>
                <w:noProof/>
                <w:sz w:val="22"/>
                <w:szCs w:val="22"/>
              </w:rPr>
              <mc:AlternateContent>
                <mc:Choice Requires="wps">
                  <w:drawing>
                    <wp:anchor distT="0" distB="0" distL="114300" distR="114300" simplePos="0" relativeHeight="251663360" behindDoc="0" locked="0" layoutInCell="1" allowOverlap="1" wp14:anchorId="1D8E46F4" wp14:editId="3F50495B">
                      <wp:simplePos x="0" y="0"/>
                      <wp:positionH relativeFrom="column">
                        <wp:posOffset>2223770</wp:posOffset>
                      </wp:positionH>
                      <wp:positionV relativeFrom="paragraph">
                        <wp:posOffset>31115</wp:posOffset>
                      </wp:positionV>
                      <wp:extent cx="128270" cy="197485"/>
                      <wp:effectExtent l="19050" t="0" r="43180" b="3111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CBBD" id="AutoShape 8" o:spid="_x0000_s1026" type="#_x0000_t67" style="position:absolute;margin-left:175.1pt;margin-top:2.45pt;width:10.1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" fillcolor="#a5a5a5"/>
                  </w:pict>
                </mc:Fallback>
              </mc:AlternateContent>
            </w:r>
          </w:p>
        </w:tc>
      </w:tr>
      <w:tr w:rsidR="002D5714" w:rsidRPr="002D5714" w14:paraId="6D50612D" w14:textId="77777777" w:rsidTr="00900CD8">
        <w:tc>
          <w:tcPr>
            <w:tcW w:w="6948" w:type="dxa"/>
            <w:tcBorders>
              <w:top w:val="nil"/>
              <w:left w:val="nil"/>
              <w:bottom w:val="nil"/>
              <w:right w:val="nil"/>
            </w:tcBorders>
            <w:hideMark/>
          </w:tcPr>
          <w:p w14:paraId="488339E2" w14:textId="2250F32B" w:rsidR="002D5714" w:rsidRPr="002D5714" w:rsidRDefault="002D5714" w:rsidP="00152112">
            <w:pPr>
              <w:jc w:val="center"/>
              <w:rPr>
                <w:rFonts w:ascii="Calibri" w:eastAsia="PMingLiU" w:hAnsi="Calibri" w:cs="Arial"/>
                <w:b/>
                <w:bCs/>
                <w:color w:val="000000"/>
                <w:sz w:val="32"/>
                <w:szCs w:val="32"/>
                <w:lang w:val="fr-CA" w:eastAsia="en-GB"/>
              </w:rPr>
            </w:pPr>
          </w:p>
        </w:tc>
      </w:tr>
      <w:tr w:rsidR="002D5714" w:rsidRPr="002D5714" w14:paraId="66081256" w14:textId="77777777" w:rsidTr="00900CD8">
        <w:tc>
          <w:tcPr>
            <w:tcW w:w="6948" w:type="dxa"/>
            <w:tcBorders>
              <w:top w:val="nil"/>
              <w:left w:val="nil"/>
              <w:bottom w:val="nil"/>
              <w:right w:val="nil"/>
            </w:tcBorders>
            <w:shd w:val="clear" w:color="auto" w:fill="C0C0C0"/>
            <w:hideMark/>
          </w:tcPr>
          <w:p w14:paraId="061B03A0" w14:textId="77777777" w:rsidR="002D5714" w:rsidRDefault="002D5714" w:rsidP="00152112">
            <w:pPr>
              <w:jc w:val="center"/>
              <w:rPr>
                <w:rFonts w:ascii="Calibri" w:eastAsia="Times New Roman" w:hAnsi="Calibri" w:cs="Calibri"/>
                <w:bCs/>
                <w:sz w:val="32"/>
                <w:szCs w:val="32"/>
                <w:lang w:val="fr-FR" w:eastAsia="en-GB"/>
              </w:rPr>
            </w:pPr>
            <w:r w:rsidRPr="002D5714">
              <w:rPr>
                <w:rFonts w:ascii="Calibri" w:eastAsia="Times New Roman" w:hAnsi="Calibri" w:cs="Calibri"/>
                <w:bCs/>
                <w:sz w:val="32"/>
                <w:szCs w:val="32"/>
                <w:lang w:val="fr-FR" w:eastAsia="en-GB"/>
              </w:rPr>
              <w:t>Reprenez la température.</w:t>
            </w:r>
          </w:p>
          <w:p w14:paraId="3FACDF87" w14:textId="3A27F0C1" w:rsidR="002D5714" w:rsidRPr="002D5714" w:rsidRDefault="002D5714" w:rsidP="00152112">
            <w:pPr>
              <w:jc w:val="center"/>
              <w:rPr>
                <w:rFonts w:ascii="Calibri" w:eastAsia="PMingLiU" w:hAnsi="Calibri" w:cs="Arial"/>
                <w:b/>
                <w:bCs/>
                <w:color w:val="000000"/>
                <w:sz w:val="32"/>
                <w:szCs w:val="32"/>
                <w:lang w:val="en-GB" w:eastAsia="en-GB"/>
              </w:rPr>
            </w:pPr>
            <w:r w:rsidRPr="002D5714">
              <w:rPr>
                <w:rFonts w:ascii="Calibri" w:eastAsia="PMingLiU" w:hAnsi="Calibri" w:cs="Arial"/>
                <w:noProof/>
                <w:sz w:val="22"/>
                <w:szCs w:val="22"/>
              </w:rPr>
              <mc:AlternateContent>
                <mc:Choice Requires="wps">
                  <w:drawing>
                    <wp:anchor distT="0" distB="0" distL="114300" distR="114300" simplePos="0" relativeHeight="251664384" behindDoc="0" locked="0" layoutInCell="1" allowOverlap="1" wp14:anchorId="47CD73E7" wp14:editId="0332BE68">
                      <wp:simplePos x="0" y="0"/>
                      <wp:positionH relativeFrom="column">
                        <wp:posOffset>2215515</wp:posOffset>
                      </wp:positionH>
                      <wp:positionV relativeFrom="paragraph">
                        <wp:posOffset>41910</wp:posOffset>
                      </wp:positionV>
                      <wp:extent cx="128270" cy="197485"/>
                      <wp:effectExtent l="19050" t="0" r="43180" b="31115"/>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74C7" id="AutoShape 9" o:spid="_x0000_s1026" type="#_x0000_t67" style="position:absolute;margin-left:174.45pt;margin-top:3.3pt;width:10.1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" fillcolor="#a5a5a5"/>
                  </w:pict>
                </mc:Fallback>
              </mc:AlternateContent>
            </w:r>
          </w:p>
        </w:tc>
      </w:tr>
      <w:tr w:rsidR="002D5714" w:rsidRPr="002D5714" w14:paraId="47148B69" w14:textId="77777777" w:rsidTr="00900CD8">
        <w:tc>
          <w:tcPr>
            <w:tcW w:w="6948" w:type="dxa"/>
            <w:tcBorders>
              <w:top w:val="nil"/>
              <w:left w:val="nil"/>
              <w:bottom w:val="nil"/>
              <w:right w:val="nil"/>
            </w:tcBorders>
            <w:hideMark/>
          </w:tcPr>
          <w:p w14:paraId="5EB45458" w14:textId="329D29C2" w:rsidR="002D5714" w:rsidRPr="002D5714" w:rsidRDefault="002D5714" w:rsidP="00152112">
            <w:pPr>
              <w:jc w:val="center"/>
              <w:rPr>
                <w:rFonts w:ascii="Calibri" w:eastAsia="PMingLiU" w:hAnsi="Calibri" w:cs="Arial"/>
                <w:b/>
                <w:bCs/>
                <w:color w:val="000000"/>
                <w:sz w:val="32"/>
                <w:szCs w:val="32"/>
                <w:lang w:val="en-GB" w:eastAsia="en-GB"/>
              </w:rPr>
            </w:pPr>
          </w:p>
        </w:tc>
      </w:tr>
      <w:tr w:rsidR="002D5714" w:rsidRPr="002D5714" w14:paraId="614D7AE6" w14:textId="77777777" w:rsidTr="00900CD8">
        <w:tc>
          <w:tcPr>
            <w:tcW w:w="6948" w:type="dxa"/>
            <w:tcBorders>
              <w:top w:val="nil"/>
              <w:left w:val="nil"/>
              <w:bottom w:val="nil"/>
              <w:right w:val="nil"/>
            </w:tcBorders>
            <w:shd w:val="clear" w:color="auto" w:fill="C0C0C0"/>
            <w:hideMark/>
          </w:tcPr>
          <w:p w14:paraId="4CBF3B8D" w14:textId="77777777" w:rsidR="002D5714" w:rsidRDefault="002D5714" w:rsidP="00152112">
            <w:pPr>
              <w:jc w:val="center"/>
              <w:rPr>
                <w:rFonts w:ascii="Calibri" w:eastAsia="Times New Roman" w:hAnsi="Calibri" w:cs="Calibri"/>
                <w:bCs/>
                <w:sz w:val="32"/>
                <w:szCs w:val="32"/>
                <w:lang w:val="fr-FR" w:eastAsia="en-GB"/>
              </w:rPr>
            </w:pPr>
            <w:r w:rsidRPr="002D5714">
              <w:rPr>
                <w:rFonts w:ascii="Calibri" w:eastAsia="Times New Roman" w:hAnsi="Calibri" w:cs="Calibri"/>
                <w:bCs/>
                <w:sz w:val="32"/>
                <w:szCs w:val="32"/>
                <w:lang w:val="fr-FR" w:eastAsia="en-GB"/>
              </w:rPr>
              <w:t>Si elle est toujours élevée, téléphonez pour signaler l’alerte en suivant la filière hiérarchique.</w:t>
            </w:r>
          </w:p>
          <w:p w14:paraId="7A351402" w14:textId="2F52E662"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PMingLiU" w:hAnsi="Calibri" w:cs="Arial"/>
                <w:noProof/>
                <w:sz w:val="22"/>
                <w:szCs w:val="22"/>
              </w:rPr>
              <mc:AlternateContent>
                <mc:Choice Requires="wps">
                  <w:drawing>
                    <wp:anchor distT="0" distB="0" distL="114300" distR="114300" simplePos="0" relativeHeight="251665408" behindDoc="0" locked="0" layoutInCell="1" allowOverlap="1" wp14:anchorId="618AB2AF" wp14:editId="3568D2DF">
                      <wp:simplePos x="0" y="0"/>
                      <wp:positionH relativeFrom="column">
                        <wp:posOffset>2207260</wp:posOffset>
                      </wp:positionH>
                      <wp:positionV relativeFrom="paragraph">
                        <wp:posOffset>37465</wp:posOffset>
                      </wp:positionV>
                      <wp:extent cx="128270" cy="197485"/>
                      <wp:effectExtent l="19050" t="0" r="43180" b="3111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E5368" id="AutoShape 10" o:spid="_x0000_s1026" type="#_x0000_t67" style="position:absolute;margin-left:173.8pt;margin-top:2.95pt;width:10.1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" fillcolor="#a5a5a5"/>
                  </w:pict>
                </mc:Fallback>
              </mc:AlternateContent>
            </w:r>
          </w:p>
        </w:tc>
      </w:tr>
      <w:tr w:rsidR="002D5714" w:rsidRPr="002D5714" w14:paraId="227251C2" w14:textId="77777777" w:rsidTr="00900CD8">
        <w:tc>
          <w:tcPr>
            <w:tcW w:w="6948" w:type="dxa"/>
            <w:tcBorders>
              <w:top w:val="nil"/>
              <w:left w:val="nil"/>
              <w:bottom w:val="nil"/>
              <w:right w:val="nil"/>
            </w:tcBorders>
            <w:hideMark/>
          </w:tcPr>
          <w:p w14:paraId="7470B23A" w14:textId="04BC0BDE" w:rsidR="002D5714" w:rsidRPr="002D5714" w:rsidRDefault="002D5714" w:rsidP="00152112">
            <w:pPr>
              <w:jc w:val="center"/>
              <w:rPr>
                <w:rFonts w:ascii="Calibri" w:eastAsia="PMingLiU" w:hAnsi="Calibri" w:cs="Arial"/>
                <w:b/>
                <w:bCs/>
                <w:color w:val="000000"/>
                <w:sz w:val="32"/>
                <w:szCs w:val="32"/>
                <w:lang w:val="fr-CA" w:eastAsia="en-GB"/>
              </w:rPr>
            </w:pPr>
          </w:p>
        </w:tc>
      </w:tr>
      <w:tr w:rsidR="002D5714" w:rsidRPr="002D5714" w14:paraId="114C5CB9" w14:textId="77777777" w:rsidTr="00900CD8">
        <w:tc>
          <w:tcPr>
            <w:tcW w:w="6948" w:type="dxa"/>
            <w:tcBorders>
              <w:top w:val="nil"/>
              <w:left w:val="nil"/>
              <w:bottom w:val="nil"/>
              <w:right w:val="nil"/>
            </w:tcBorders>
            <w:shd w:val="clear" w:color="auto" w:fill="C0C0C0"/>
            <w:hideMark/>
          </w:tcPr>
          <w:p w14:paraId="116E84BD" w14:textId="77777777" w:rsidR="002D5714" w:rsidRDefault="002D5714" w:rsidP="00152112">
            <w:pPr>
              <w:jc w:val="center"/>
              <w:rPr>
                <w:rFonts w:ascii="Calibri" w:eastAsia="Times New Roman" w:hAnsi="Calibri" w:cs="Calibri"/>
                <w:bCs/>
                <w:sz w:val="32"/>
                <w:szCs w:val="32"/>
                <w:lang w:val="fr-FR" w:eastAsia="en-GB"/>
              </w:rPr>
            </w:pPr>
            <w:r w:rsidRPr="002D5714">
              <w:rPr>
                <w:rFonts w:ascii="Calibri" w:eastAsia="Times New Roman" w:hAnsi="Calibri" w:cs="Calibri"/>
                <w:bCs/>
                <w:sz w:val="32"/>
                <w:szCs w:val="32"/>
                <w:lang w:val="fr-FR" w:eastAsia="en-GB"/>
              </w:rPr>
              <w:t>Un responsable DSO se rendra auprès de vous.</w:t>
            </w:r>
          </w:p>
          <w:p w14:paraId="16B74E87" w14:textId="0818BF6F"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PMingLiU" w:hAnsi="Calibri" w:cs="Arial"/>
                <w:noProof/>
                <w:sz w:val="22"/>
                <w:szCs w:val="22"/>
              </w:rPr>
              <mc:AlternateContent>
                <mc:Choice Requires="wps">
                  <w:drawing>
                    <wp:anchor distT="0" distB="0" distL="114300" distR="114300" simplePos="0" relativeHeight="251666432" behindDoc="0" locked="0" layoutInCell="1" allowOverlap="1" wp14:anchorId="113F46C9" wp14:editId="6DD96BA7">
                      <wp:simplePos x="0" y="0"/>
                      <wp:positionH relativeFrom="column">
                        <wp:posOffset>2190750</wp:posOffset>
                      </wp:positionH>
                      <wp:positionV relativeFrom="paragraph">
                        <wp:posOffset>40005</wp:posOffset>
                      </wp:positionV>
                      <wp:extent cx="128270" cy="197485"/>
                      <wp:effectExtent l="19050" t="0" r="43180" b="3111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2C7D" id="AutoShape 11" o:spid="_x0000_s1026" type="#_x0000_t67" style="position:absolute;margin-left:172.5pt;margin-top:3.15pt;width:10.1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" fillcolor="#a5a5a5"/>
                  </w:pict>
                </mc:Fallback>
              </mc:AlternateContent>
            </w:r>
          </w:p>
        </w:tc>
      </w:tr>
      <w:tr w:rsidR="002D5714" w:rsidRPr="002D5714" w14:paraId="145F24FD" w14:textId="77777777" w:rsidTr="00900CD8">
        <w:tc>
          <w:tcPr>
            <w:tcW w:w="6948" w:type="dxa"/>
            <w:tcBorders>
              <w:top w:val="nil"/>
              <w:left w:val="nil"/>
              <w:bottom w:val="nil"/>
              <w:right w:val="nil"/>
            </w:tcBorders>
            <w:hideMark/>
          </w:tcPr>
          <w:p w14:paraId="398DEA37" w14:textId="45600A7C" w:rsidR="002D5714" w:rsidRPr="002D5714" w:rsidRDefault="002D5714" w:rsidP="00152112">
            <w:pPr>
              <w:jc w:val="center"/>
              <w:rPr>
                <w:rFonts w:ascii="Calibri" w:eastAsia="PMingLiU" w:hAnsi="Calibri" w:cs="Arial"/>
                <w:b/>
                <w:bCs/>
                <w:color w:val="000000"/>
                <w:sz w:val="32"/>
                <w:szCs w:val="32"/>
                <w:lang w:val="fr-CA" w:eastAsia="en-GB"/>
              </w:rPr>
            </w:pPr>
          </w:p>
        </w:tc>
      </w:tr>
      <w:tr w:rsidR="002D5714" w:rsidRPr="002D5714" w14:paraId="17397E78" w14:textId="77777777" w:rsidTr="00900CD8">
        <w:tc>
          <w:tcPr>
            <w:tcW w:w="6948" w:type="dxa"/>
            <w:tcBorders>
              <w:top w:val="nil"/>
              <w:left w:val="nil"/>
              <w:bottom w:val="nil"/>
              <w:right w:val="nil"/>
            </w:tcBorders>
            <w:shd w:val="clear" w:color="auto" w:fill="C0C0C0"/>
            <w:hideMark/>
          </w:tcPr>
          <w:p w14:paraId="211AABB2" w14:textId="0D68C9F7"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Times New Roman" w:hAnsi="Calibri" w:cs="Calibri"/>
                <w:bCs/>
                <w:sz w:val="32"/>
                <w:szCs w:val="32"/>
                <w:lang w:val="fr-FR" w:eastAsia="en-GB"/>
              </w:rPr>
              <w:t>Si la personne répond à la définition d’un cas (ce que le responsable DSO décidera)</w:t>
            </w:r>
          </w:p>
        </w:tc>
      </w:tr>
      <w:tr w:rsidR="002D5714" w:rsidRPr="002D5714" w14:paraId="34393B20" w14:textId="77777777" w:rsidTr="00900CD8">
        <w:tc>
          <w:tcPr>
            <w:tcW w:w="6948" w:type="dxa"/>
            <w:tcBorders>
              <w:top w:val="nil"/>
              <w:left w:val="nil"/>
              <w:bottom w:val="nil"/>
              <w:right w:val="nil"/>
            </w:tcBorders>
          </w:tcPr>
          <w:p w14:paraId="13B57AEB" w14:textId="1A70CA9C"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PMingLiU" w:hAnsi="Calibri" w:cs="Arial"/>
                <w:noProof/>
                <w:sz w:val="22"/>
                <w:szCs w:val="22"/>
              </w:rPr>
              <mc:AlternateContent>
                <mc:Choice Requires="wps">
                  <w:drawing>
                    <wp:anchor distT="0" distB="0" distL="114300" distR="114300" simplePos="0" relativeHeight="251667456" behindDoc="0" locked="0" layoutInCell="1" allowOverlap="1" wp14:anchorId="0EE35803" wp14:editId="44A2EB7A">
                      <wp:simplePos x="0" y="0"/>
                      <wp:positionH relativeFrom="column">
                        <wp:posOffset>2190750</wp:posOffset>
                      </wp:positionH>
                      <wp:positionV relativeFrom="paragraph">
                        <wp:posOffset>27305</wp:posOffset>
                      </wp:positionV>
                      <wp:extent cx="128270" cy="197485"/>
                      <wp:effectExtent l="19050" t="0" r="43180" b="31115"/>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2735A" id="AutoShape 12" o:spid="_x0000_s1026" type="#_x0000_t67" style="position:absolute;margin-left:172.5pt;margin-top:2.15pt;width:10.1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" fillcolor="#a5a5a5"/>
                  </w:pict>
                </mc:Fallback>
              </mc:AlternateContent>
            </w:r>
          </w:p>
        </w:tc>
      </w:tr>
      <w:tr w:rsidR="002D5714" w:rsidRPr="002D5714" w14:paraId="534504C4" w14:textId="77777777" w:rsidTr="00900CD8">
        <w:tc>
          <w:tcPr>
            <w:tcW w:w="6948" w:type="dxa"/>
            <w:tcBorders>
              <w:top w:val="nil"/>
              <w:left w:val="nil"/>
              <w:bottom w:val="nil"/>
              <w:right w:val="nil"/>
            </w:tcBorders>
            <w:shd w:val="clear" w:color="auto" w:fill="C0C0C0"/>
            <w:hideMark/>
          </w:tcPr>
          <w:p w14:paraId="3930740C" w14:textId="77777777" w:rsidR="002D5714" w:rsidRDefault="002D5714" w:rsidP="00152112">
            <w:pPr>
              <w:jc w:val="center"/>
              <w:rPr>
                <w:rFonts w:ascii="Calibri" w:eastAsia="Times New Roman" w:hAnsi="Calibri" w:cs="Calibri"/>
                <w:bCs/>
                <w:sz w:val="32"/>
                <w:szCs w:val="32"/>
                <w:lang w:val="fr-FR" w:eastAsia="en-GB"/>
              </w:rPr>
            </w:pPr>
            <w:r w:rsidRPr="002D5714">
              <w:rPr>
                <w:rFonts w:ascii="Calibri" w:eastAsia="Times New Roman" w:hAnsi="Calibri" w:cs="Calibri"/>
                <w:bCs/>
                <w:sz w:val="32"/>
                <w:szCs w:val="32"/>
                <w:lang w:val="fr-FR" w:eastAsia="en-GB"/>
              </w:rPr>
              <w:t>Organisez son transport vers un établissement de soins par l’intermédiaire du DERC.</w:t>
            </w:r>
          </w:p>
          <w:p w14:paraId="129E057B" w14:textId="54331AFA"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PMingLiU" w:hAnsi="Calibri" w:cs="Arial"/>
                <w:noProof/>
                <w:sz w:val="22"/>
                <w:szCs w:val="22"/>
              </w:rPr>
              <mc:AlternateContent>
                <mc:Choice Requires="wps">
                  <w:drawing>
                    <wp:anchor distT="0" distB="0" distL="114300" distR="114300" simplePos="0" relativeHeight="251668480" behindDoc="0" locked="0" layoutInCell="1" allowOverlap="1" wp14:anchorId="4FFC9C65" wp14:editId="1E00A19B">
                      <wp:simplePos x="0" y="0"/>
                      <wp:positionH relativeFrom="column">
                        <wp:posOffset>2182495</wp:posOffset>
                      </wp:positionH>
                      <wp:positionV relativeFrom="paragraph">
                        <wp:posOffset>32385</wp:posOffset>
                      </wp:positionV>
                      <wp:extent cx="128270" cy="197485"/>
                      <wp:effectExtent l="19050" t="0" r="43180" b="3111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7485"/>
                              </a:xfrm>
                              <a:prstGeom prst="downArrow">
                                <a:avLst>
                                  <a:gd name="adj1" fmla="val 50000"/>
                                  <a:gd name="adj2" fmla="val 3849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67EE" id="AutoShape 13" o:spid="_x0000_s1026" type="#_x0000_t67" style="position:absolute;margin-left:171.85pt;margin-top:2.55pt;width:10.1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" fillcolor="#a5a5a5"/>
                  </w:pict>
                </mc:Fallback>
              </mc:AlternateContent>
            </w:r>
          </w:p>
        </w:tc>
      </w:tr>
      <w:tr w:rsidR="002D5714" w:rsidRPr="002D5714" w14:paraId="11B6F160" w14:textId="77777777" w:rsidTr="00900CD8">
        <w:tc>
          <w:tcPr>
            <w:tcW w:w="6948" w:type="dxa"/>
            <w:tcBorders>
              <w:top w:val="nil"/>
              <w:left w:val="nil"/>
              <w:bottom w:val="nil"/>
              <w:right w:val="nil"/>
            </w:tcBorders>
            <w:hideMark/>
          </w:tcPr>
          <w:p w14:paraId="19D4BF2D" w14:textId="78A7F5EA" w:rsidR="002D5714" w:rsidRPr="002D5714" w:rsidRDefault="002D5714" w:rsidP="00152112">
            <w:pPr>
              <w:jc w:val="center"/>
              <w:rPr>
                <w:rFonts w:ascii="Calibri" w:eastAsia="PMingLiU" w:hAnsi="Calibri" w:cs="Arial"/>
                <w:b/>
                <w:bCs/>
                <w:color w:val="000000"/>
                <w:sz w:val="32"/>
                <w:szCs w:val="32"/>
                <w:lang w:val="fr-CA" w:eastAsia="en-GB"/>
              </w:rPr>
            </w:pPr>
          </w:p>
        </w:tc>
      </w:tr>
      <w:tr w:rsidR="002D5714" w:rsidRPr="002D5714" w14:paraId="40BA05E2" w14:textId="77777777" w:rsidTr="00900CD8">
        <w:tc>
          <w:tcPr>
            <w:tcW w:w="6948" w:type="dxa"/>
            <w:tcBorders>
              <w:top w:val="nil"/>
              <w:left w:val="nil"/>
              <w:bottom w:val="single" w:sz="8" w:space="0" w:color="000000"/>
              <w:right w:val="nil"/>
            </w:tcBorders>
            <w:shd w:val="clear" w:color="auto" w:fill="C0C0C0"/>
            <w:hideMark/>
          </w:tcPr>
          <w:p w14:paraId="3256A30D" w14:textId="7BCF2108" w:rsidR="002D5714" w:rsidRPr="002D5714" w:rsidRDefault="002D5714" w:rsidP="00152112">
            <w:pPr>
              <w:jc w:val="center"/>
              <w:rPr>
                <w:rFonts w:ascii="Calibri" w:eastAsia="PMingLiU" w:hAnsi="Calibri" w:cs="Arial"/>
                <w:b/>
                <w:bCs/>
                <w:color w:val="000000"/>
                <w:sz w:val="32"/>
                <w:szCs w:val="32"/>
                <w:lang w:val="fr-CA" w:eastAsia="en-GB"/>
              </w:rPr>
            </w:pPr>
            <w:r w:rsidRPr="002D5714">
              <w:rPr>
                <w:rFonts w:ascii="Calibri" w:eastAsia="Times New Roman" w:hAnsi="Calibri" w:cs="Calibri"/>
                <w:bCs/>
                <w:sz w:val="32"/>
                <w:szCs w:val="32"/>
                <w:lang w:val="fr-FR" w:eastAsia="en-GB"/>
              </w:rPr>
              <w:t>Organisez la décontamination de la tente d’isolement.</w:t>
            </w:r>
          </w:p>
        </w:tc>
      </w:tr>
    </w:tbl>
    <w:p w14:paraId="4F797B8C" w14:textId="77777777" w:rsidR="002D5714" w:rsidRPr="002D5714" w:rsidRDefault="002D5714" w:rsidP="002D5714">
      <w:pPr>
        <w:rPr>
          <w:rFonts w:ascii="Calibri" w:eastAsia="PMingLiU" w:hAnsi="Calibri" w:cs="Arial"/>
          <w:szCs w:val="22"/>
          <w:lang w:val="fr-CA"/>
        </w:rPr>
      </w:pPr>
      <w:r w:rsidRPr="002D5714">
        <w:rPr>
          <w:rFonts w:ascii="Calibri" w:eastAsia="PMingLiU" w:hAnsi="Calibri" w:cs="Calibri"/>
          <w:lang w:val="fr-FR"/>
        </w:rPr>
        <w:t>Si la température de la personne baisse après l’attente de dix minutes dans la tente, laissez-la passer mais conseillez-lui de chercher de l’aide si elle ne se sent pas bien.</w:t>
      </w:r>
    </w:p>
    <w:p w14:paraId="32B45B36" w14:textId="39D4BBAB" w:rsidR="002D5714" w:rsidRDefault="002D5714" w:rsidP="00EC0701">
      <w:pPr>
        <w:rPr>
          <w:rFonts w:asciiTheme="majorHAnsi" w:hAnsiTheme="majorHAnsi"/>
        </w:rPr>
        <w:sectPr w:rsidR="002D5714" w:rsidSect="00900CD8">
          <w:footnotePr>
            <w:numFmt w:val="lowerLetter"/>
          </w:footnotePr>
          <w:pgSz w:w="15840" w:h="12240" w:orient="landscape"/>
          <w:pgMar w:top="720" w:right="270" w:bottom="1440" w:left="1440" w:header="720" w:footer="720" w:gutter="0"/>
          <w:cols w:num="2" w:space="720"/>
          <w:docGrid w:linePitch="360"/>
        </w:sectPr>
      </w:pPr>
    </w:p>
    <w:p w14:paraId="675E1A06" w14:textId="77777777" w:rsidR="00EC0701" w:rsidRDefault="00CB05D6" w:rsidP="00B1394A">
      <w:pPr>
        <w:pStyle w:val="ListParagraph"/>
        <w:numPr>
          <w:ilvl w:val="0"/>
          <w:numId w:val="30"/>
        </w:numPr>
        <w:jc w:val="center"/>
        <w:rPr>
          <w:rFonts w:asciiTheme="majorHAnsi" w:hAnsiTheme="majorHAnsi"/>
          <w:b/>
          <w:sz w:val="28"/>
          <w:szCs w:val="28"/>
        </w:rPr>
      </w:pPr>
      <w:bookmarkStart w:id="27" w:name="_Ref445290154"/>
      <w:r w:rsidRPr="00CB05D6">
        <w:rPr>
          <w:rFonts w:asciiTheme="majorHAnsi" w:hAnsiTheme="majorHAnsi"/>
          <w:b/>
          <w:sz w:val="28"/>
          <w:szCs w:val="28"/>
        </w:rPr>
        <w:t>Appendix C – Abstract Submission to 2016 AMIA Symposium</w:t>
      </w:r>
      <w:bookmarkEnd w:id="27"/>
    </w:p>
    <w:p w14:paraId="20193D1C" w14:textId="77777777" w:rsidR="00D00718" w:rsidRPr="00D00718" w:rsidRDefault="00D00718" w:rsidP="00D00718">
      <w:pPr>
        <w:pStyle w:val="ListParagraph"/>
        <w:ind w:left="0"/>
        <w:jc w:val="center"/>
        <w:rPr>
          <w:rFonts w:asciiTheme="majorHAnsi" w:hAnsiTheme="majorHAnsi"/>
        </w:rPr>
      </w:pPr>
      <w:r w:rsidRPr="00D00718">
        <w:rPr>
          <w:rFonts w:asciiTheme="majorHAnsi" w:hAnsiTheme="majorHAnsi"/>
        </w:rPr>
        <w:t>Submitted March 10, 2016</w:t>
      </w:r>
    </w:p>
    <w:p w14:paraId="034A285A" w14:textId="77777777" w:rsidR="00D00718" w:rsidRDefault="00D00718" w:rsidP="00D00718">
      <w:pPr>
        <w:pStyle w:val="ListParagraph"/>
        <w:ind w:left="0"/>
        <w:jc w:val="center"/>
        <w:rPr>
          <w:rFonts w:asciiTheme="majorHAnsi" w:hAnsiTheme="majorHAnsi"/>
          <w:b/>
          <w:sz w:val="28"/>
          <w:szCs w:val="28"/>
        </w:rPr>
      </w:pPr>
    </w:p>
    <w:p w14:paraId="4EFABB9E" w14:textId="77777777" w:rsidR="00D00718" w:rsidRDefault="00D00718" w:rsidP="00D00718">
      <w:pPr>
        <w:pStyle w:val="AMIATitle"/>
        <w:spacing w:after="120"/>
      </w:pPr>
      <w:r>
        <w:t>Comparison of Policies and Procedures on Governance of Data Use to Support Health Information Exchange in Low- and Middle-Income Countries</w:t>
      </w:r>
    </w:p>
    <w:p w14:paraId="03FC7BB7" w14:textId="77777777" w:rsidR="00D00718" w:rsidRDefault="00D00718" w:rsidP="00D00718">
      <w:pPr>
        <w:pStyle w:val="AMIAAuthors"/>
      </w:pPr>
      <w:r>
        <w:t>Lauren A. Wu, MHS</w:t>
      </w:r>
      <w:r w:rsidRPr="008803D4">
        <w:rPr>
          <w:vertAlign w:val="superscript"/>
        </w:rPr>
        <w:t>1</w:t>
      </w:r>
      <w:r>
        <w:rPr>
          <w:vertAlign w:val="superscript"/>
        </w:rPr>
        <w:t>,2</w:t>
      </w:r>
      <w:r>
        <w:t>, Theresa Cullen, MD, MS</w:t>
      </w:r>
      <w:r>
        <w:rPr>
          <w:vertAlign w:val="superscript"/>
        </w:rPr>
        <w:t>1</w:t>
      </w:r>
    </w:p>
    <w:p w14:paraId="0822C166" w14:textId="77777777" w:rsidR="00D00718" w:rsidRDefault="00D00718" w:rsidP="00D00718">
      <w:pPr>
        <w:pStyle w:val="AMIAAffiliations"/>
        <w:spacing w:after="120"/>
      </w:pPr>
      <w:r w:rsidRPr="00B547B7">
        <w:rPr>
          <w:vertAlign w:val="superscript"/>
        </w:rPr>
        <w:t>1</w:t>
      </w:r>
      <w:r>
        <w:t xml:space="preserve">Regenstrief Institute Global Health Informatics Group, Indianapolis, IN; </w:t>
      </w:r>
      <w:r w:rsidRPr="006C79A8">
        <w:rPr>
          <w:vertAlign w:val="superscript"/>
        </w:rPr>
        <w:t>2</w:t>
      </w:r>
      <w:r>
        <w:t>Office of the National Coordinator for Health Information Technology, Washington, DC</w:t>
      </w:r>
    </w:p>
    <w:p w14:paraId="38621616" w14:textId="77777777" w:rsidR="00D00718" w:rsidRDefault="00D00718" w:rsidP="00D00718">
      <w:pPr>
        <w:pStyle w:val="AMIAAbstractHeading"/>
      </w:pPr>
      <w:r w:rsidRPr="006C79A8">
        <w:t>Abstract</w:t>
      </w:r>
    </w:p>
    <w:p w14:paraId="25F60E07" w14:textId="77777777" w:rsidR="00D00718" w:rsidRDefault="00D00718" w:rsidP="00D00718">
      <w:pPr>
        <w:pStyle w:val="AMIAAbstract"/>
      </w:pPr>
      <w:r>
        <w:t>Low and middle-income countries (LMIC) are increasingly contemplating electronic health data sharing architectures using the health information exchange (HIE) approach. Successful large-scale interoperability depends on effective policies and procedures for data sharing. We undertake a review of policies and procedures for HIE</w:t>
      </w:r>
      <w:r w:rsidRPr="00BA2079">
        <w:t xml:space="preserve"> </w:t>
      </w:r>
      <w:r>
        <w:t>in LMIC to determine the current state of and identify potential barriers to successful development and implementation of policies and procedures focused on data use and governance.</w:t>
      </w:r>
    </w:p>
    <w:p w14:paraId="6B84F9AF" w14:textId="4601D246" w:rsidR="00D00718" w:rsidRPr="00D00718" w:rsidRDefault="00D00718" w:rsidP="00D00718">
      <w:pPr>
        <w:pStyle w:val="AMIAAbstract"/>
        <w:rPr>
          <w:b/>
          <w:i w:val="0"/>
        </w:rPr>
      </w:pPr>
      <w:r w:rsidRPr="00D00718">
        <w:rPr>
          <w:b/>
          <w:i w:val="0"/>
        </w:rPr>
        <w:t>Introduction</w:t>
      </w:r>
    </w:p>
    <w:p w14:paraId="676B91ED" w14:textId="77777777" w:rsidR="00D00718" w:rsidRPr="005A31F5" w:rsidRDefault="00D00718" w:rsidP="00D00718">
      <w:pPr>
        <w:pStyle w:val="NormalWeb"/>
        <w:spacing w:before="0" w:beforeAutospacing="0" w:after="120" w:afterAutospacing="0"/>
        <w:jc w:val="both"/>
        <w:rPr>
          <w:color w:val="000000"/>
          <w:sz w:val="20"/>
          <w:szCs w:val="20"/>
        </w:rPr>
      </w:pPr>
      <w:r>
        <w:rPr>
          <w:color w:val="000000"/>
          <w:sz w:val="20"/>
          <w:szCs w:val="20"/>
        </w:rPr>
        <w:t>Clinical care, community surveillance, and program evaluation activities are enhanced by a milieu where health data is easily shared. Health information exchanges (HIE) are a common architectural approach for electronic health data sharing, but their success is dependent upon the development and implementation of data governance</w:t>
      </w:r>
      <w:r w:rsidRPr="002A5F81">
        <w:rPr>
          <w:color w:val="000000"/>
          <w:sz w:val="20"/>
          <w:szCs w:val="20"/>
        </w:rPr>
        <w:t xml:space="preserve"> </w:t>
      </w:r>
      <w:r>
        <w:rPr>
          <w:color w:val="000000"/>
          <w:sz w:val="20"/>
          <w:szCs w:val="20"/>
        </w:rPr>
        <w:t>at a country or institutional level</w:t>
      </w:r>
      <w:r w:rsidRPr="002A5F81">
        <w:rPr>
          <w:color w:val="000000"/>
          <w:sz w:val="20"/>
          <w:szCs w:val="20"/>
        </w:rPr>
        <w:t>. Historically</w:t>
      </w:r>
      <w:r>
        <w:rPr>
          <w:color w:val="000000"/>
          <w:sz w:val="20"/>
          <w:szCs w:val="20"/>
        </w:rPr>
        <w:t xml:space="preserve">, interoperability is deeply influenced by issues surrounding </w:t>
      </w:r>
      <w:r w:rsidRPr="002A5F81">
        <w:rPr>
          <w:color w:val="000000"/>
          <w:sz w:val="20"/>
          <w:szCs w:val="20"/>
        </w:rPr>
        <w:t>data ownership, data sharing, data aggregation</w:t>
      </w:r>
      <w:r>
        <w:rPr>
          <w:color w:val="000000"/>
          <w:sz w:val="20"/>
          <w:szCs w:val="20"/>
        </w:rPr>
        <w:t>,</w:t>
      </w:r>
      <w:r w:rsidRPr="002A5F81">
        <w:rPr>
          <w:color w:val="000000"/>
          <w:sz w:val="20"/>
          <w:szCs w:val="20"/>
        </w:rPr>
        <w:t xml:space="preserve"> data re-use</w:t>
      </w:r>
      <w:r>
        <w:rPr>
          <w:color w:val="000000"/>
          <w:sz w:val="20"/>
          <w:szCs w:val="20"/>
        </w:rPr>
        <w:t>, and governance</w:t>
      </w:r>
      <w:r>
        <w:rPr>
          <w:rStyle w:val="AMIASuperscriptChar"/>
        </w:rPr>
        <w:t>1</w:t>
      </w:r>
      <w:r w:rsidRPr="002A5F81">
        <w:rPr>
          <w:color w:val="000000"/>
          <w:sz w:val="20"/>
          <w:szCs w:val="20"/>
        </w:rPr>
        <w:t xml:space="preserve">. </w:t>
      </w:r>
      <w:r>
        <w:rPr>
          <w:color w:val="000000"/>
          <w:sz w:val="20"/>
          <w:szCs w:val="20"/>
        </w:rPr>
        <w:t>As low- and</w:t>
      </w:r>
      <w:r w:rsidRPr="002A5F81">
        <w:rPr>
          <w:color w:val="000000"/>
          <w:sz w:val="20"/>
          <w:szCs w:val="20"/>
        </w:rPr>
        <w:t xml:space="preserve"> middle</w:t>
      </w:r>
      <w:r>
        <w:rPr>
          <w:color w:val="000000"/>
          <w:sz w:val="20"/>
          <w:szCs w:val="20"/>
        </w:rPr>
        <w:t>-</w:t>
      </w:r>
      <w:r w:rsidRPr="002A5F81">
        <w:rPr>
          <w:color w:val="000000"/>
          <w:sz w:val="20"/>
          <w:szCs w:val="20"/>
        </w:rPr>
        <w:t>income countries</w:t>
      </w:r>
      <w:r>
        <w:rPr>
          <w:color w:val="000000"/>
          <w:sz w:val="20"/>
          <w:szCs w:val="20"/>
        </w:rPr>
        <w:t xml:space="preserve"> (LMIC)</w:t>
      </w:r>
      <w:r w:rsidRPr="002A5F81">
        <w:rPr>
          <w:color w:val="000000"/>
          <w:sz w:val="20"/>
          <w:szCs w:val="20"/>
        </w:rPr>
        <w:t xml:space="preserve"> move towards increasing</w:t>
      </w:r>
      <w:r>
        <w:rPr>
          <w:color w:val="000000"/>
          <w:sz w:val="20"/>
          <w:szCs w:val="20"/>
        </w:rPr>
        <w:t xml:space="preserve"> HIE and</w:t>
      </w:r>
      <w:r w:rsidRPr="002A5F81">
        <w:rPr>
          <w:color w:val="000000"/>
          <w:sz w:val="20"/>
          <w:szCs w:val="20"/>
        </w:rPr>
        <w:t xml:space="preserve"> interoper</w:t>
      </w:r>
      <w:r>
        <w:rPr>
          <w:color w:val="000000"/>
          <w:sz w:val="20"/>
          <w:szCs w:val="20"/>
        </w:rPr>
        <w:t>ability, developing a logical framework</w:t>
      </w:r>
      <w:r w:rsidRPr="002A5F81">
        <w:rPr>
          <w:color w:val="000000"/>
          <w:sz w:val="20"/>
          <w:szCs w:val="20"/>
        </w:rPr>
        <w:t xml:space="preserve"> </w:t>
      </w:r>
      <w:r>
        <w:rPr>
          <w:color w:val="000000"/>
          <w:sz w:val="20"/>
          <w:szCs w:val="20"/>
        </w:rPr>
        <w:t xml:space="preserve">to resolve these sociotechnical ambiguities for a given environment </w:t>
      </w:r>
      <w:r w:rsidRPr="002A5F81">
        <w:rPr>
          <w:color w:val="000000"/>
          <w:sz w:val="20"/>
          <w:szCs w:val="20"/>
        </w:rPr>
        <w:t>becomes more critical</w:t>
      </w:r>
      <w:r>
        <w:rPr>
          <w:rStyle w:val="AMIASuperscriptChar"/>
        </w:rPr>
        <w:t>2</w:t>
      </w:r>
      <w:r w:rsidRPr="002A5F81">
        <w:rPr>
          <w:color w:val="000000"/>
          <w:sz w:val="20"/>
          <w:szCs w:val="20"/>
        </w:rPr>
        <w:t>.</w:t>
      </w:r>
      <w:r>
        <w:rPr>
          <w:color w:val="000000"/>
          <w:sz w:val="20"/>
          <w:szCs w:val="20"/>
        </w:rPr>
        <w:t xml:space="preserve"> </w:t>
      </w:r>
    </w:p>
    <w:p w14:paraId="24CA2BE8" w14:textId="77777777" w:rsidR="00D00718" w:rsidRPr="00215CF5" w:rsidRDefault="00D00718" w:rsidP="00D00718">
      <w:pPr>
        <w:pStyle w:val="AMIAHeading"/>
        <w:spacing w:before="0"/>
        <w:rPr>
          <w:b w:val="0"/>
        </w:rPr>
      </w:pPr>
      <w:r>
        <w:rPr>
          <w:b w:val="0"/>
        </w:rPr>
        <w:t>The World Health Organization undertook a series of surveys of eHealth in Member States which informed the Global Observatory for eHealth (GOe) series of publications in 2010-2014</w:t>
      </w:r>
      <w:r>
        <w:rPr>
          <w:b w:val="0"/>
          <w:sz w:val="16"/>
          <w:szCs w:val="16"/>
          <w:vertAlign w:val="superscript"/>
        </w:rPr>
        <w:t>3</w:t>
      </w:r>
      <w:r>
        <w:rPr>
          <w:b w:val="0"/>
        </w:rPr>
        <w:t>. While the GOe surveys and publications provide a strong baseline for understanding the use of eHealth in LMIC, they do not focus on HIE and interoperability through the lens of governance and data use issues. We undertook a global review of policies (e.g., laws, national strategies, legal agreements) and procedures (e.g., implementation guidance, standards) (P&amp;P) for health information exchange in LMIC, focusing on data use and governance. Our goals were to add to the existing knowledge and identify key focal areas for a potential framework that country decision-makers should consider when developing effective P&amp;P for HIE.</w:t>
      </w:r>
    </w:p>
    <w:p w14:paraId="7B0331F4" w14:textId="77777777" w:rsidR="00D00718" w:rsidRDefault="00D00718" w:rsidP="00D00718">
      <w:pPr>
        <w:pStyle w:val="AMIAHeading"/>
        <w:spacing w:before="0"/>
      </w:pPr>
      <w:r>
        <w:t>Methods</w:t>
      </w:r>
    </w:p>
    <w:p w14:paraId="44A05334" w14:textId="77777777" w:rsidR="00D00718" w:rsidRDefault="00D00718" w:rsidP="00D00718">
      <w:pPr>
        <w:pStyle w:val="AMIABodyText"/>
      </w:pPr>
      <w:r>
        <w:t>We performed a mixed-method review of P&amp;P for HIE in LMIC as defined by the World Bank from February-March 2016. While the review focused on LMIC, we also collected data from high-income countries to determine if there were lessons learned that could be applied in LMIC settings.</w:t>
      </w:r>
    </w:p>
    <w:p w14:paraId="55A4CB94" w14:textId="77777777" w:rsidR="00D00718" w:rsidRDefault="00D00718" w:rsidP="00D00718">
      <w:pPr>
        <w:pStyle w:val="AMIABodyText"/>
      </w:pPr>
      <w:r>
        <w:t xml:space="preserve">For the literature review, we reviewed the published literature indexed in PUBMED and MEDLINE using keywords “low- and middle income country,” “health information exchange,” “interoperability,” “big data,” “policy,” and “governance.” We also reviewed articles referenced by the published literature as well as the gray literature including countries’ eHealth strategies, legislation, and other P&amp;P relating to HIE. </w:t>
      </w:r>
    </w:p>
    <w:p w14:paraId="2E22D6DE" w14:textId="77777777" w:rsidR="00D00718" w:rsidRDefault="00D00718" w:rsidP="00D00718">
      <w:pPr>
        <w:pStyle w:val="AMIABodyText"/>
      </w:pPr>
      <w:r>
        <w:t>For the semi-structured interviews, we first contacted individuals working in LMIC through the OpenHIE community (http://ohie.org). The OpenHIE community improves the health of the underserved through open and collaborative development and support of country-driven, large scale health information sharing architectures. Experts were invited to hour-long semi-structured interviews regarding P&amp;P for HIE. We sought recommendations for additional LMIC contacts from the initial experts. While an exhaustive review of every LMIC was not performed, we sought to provide a snapshot of HIE in regions across the globe that could inform key focal areas for these policies and procedures globally. This review was qualitative in nature and thus the results presented represent the general themes and overall findings. It does not represent a quantitative perspective.</w:t>
      </w:r>
    </w:p>
    <w:p w14:paraId="0999BDEC" w14:textId="77777777" w:rsidR="00D00718" w:rsidRDefault="00D00718" w:rsidP="00D00718">
      <w:pPr>
        <w:pStyle w:val="AMIAHeading"/>
        <w:spacing w:before="0"/>
      </w:pPr>
      <w:r>
        <w:t>Results</w:t>
      </w:r>
    </w:p>
    <w:p w14:paraId="6A17ADD8" w14:textId="77777777" w:rsidR="00D00718" w:rsidRDefault="00D00718" w:rsidP="00D00718">
      <w:pPr>
        <w:pStyle w:val="AMIABodyText"/>
      </w:pPr>
      <w:r>
        <w:rPr>
          <w:i/>
        </w:rPr>
        <w:t xml:space="preserve">Use Cases for HIE. </w:t>
      </w:r>
      <w:r>
        <w:t xml:space="preserve">We gathered information on 27 LMIC and one regional network in Asia. The use cases and value proposition for HIE vary and appear to reflect country and funder priorities. For example, in some African and Caribbean LMIC, HIE focuses on infectious diseases such as HIV/AIDS, tuberculosis, and Ebola, often due to program monitoring and evaluation (M&amp;E) requirements of donors. Other LMIC, such as in Asia and South America, are developing enterprise-wide HIE with a goal of universal health coverage. Most LMIC are prioritizing data exchange within the country rather than cross-border data exchange. Only one regional network in Asia was identified as working on two fronts– exchange within countries and cross-border exchange through a regional HIE “lab” structure that has a foundational commitment to the use of common standards and formats. </w:t>
      </w:r>
    </w:p>
    <w:p w14:paraId="297530A1" w14:textId="77777777" w:rsidR="00D00718" w:rsidRDefault="00D00718" w:rsidP="00D00718">
      <w:pPr>
        <w:pStyle w:val="AMIABodyText"/>
      </w:pPr>
      <w:r>
        <w:rPr>
          <w:i/>
        </w:rPr>
        <w:t xml:space="preserve">eHealth Strategy and Data Stewardship/Ownership. </w:t>
      </w:r>
      <w:r>
        <w:t xml:space="preserve">Countries’ eHealth strategies and HIE approaches generally address high level governance and partnerships; enterprise architecture; patient identification; standards for interoperability; and privacy and security. In most countries, the data collector or the place where data is physically located is seen as the “owner” or steward of the data. Generally, this has been the Ministry of Health (MoH) in the public sector; where there is a strong private sector, regional or local hospitals and clinics can also “own” or steward the data. However, there is an increasing shift toward discussing the patient as the true owner of their health data.  Despite the shifting mindset, few LMIC offer individuals access to their electronic health data. </w:t>
      </w:r>
    </w:p>
    <w:p w14:paraId="0FD75F51" w14:textId="77777777" w:rsidR="00D00718" w:rsidRDefault="00D00718" w:rsidP="00D00718">
      <w:pPr>
        <w:pStyle w:val="AMIABodyText"/>
      </w:pPr>
      <w:r>
        <w:rPr>
          <w:i/>
        </w:rPr>
        <w:t xml:space="preserve">Governance. </w:t>
      </w:r>
      <w:r>
        <w:t>While all countries’ eHealth strategies featured some governance structures, their implementation and maturity vary. In countries focusing on enterprise-wide architecture and universal health coverage such as in South America and Asia, governance tends to take priority and is implemented early. Countries with a strong centralized government and/or MoH have been able to develop and implement governance from the “top-down,” but enforcement remains an issue.</w:t>
      </w:r>
      <w:r w:rsidRPr="00043963">
        <w:t xml:space="preserve"> </w:t>
      </w:r>
      <w:r>
        <w:t xml:space="preserve">Where there are health issue silos and a strong dependence on donor and private sector funding, governance may not exist nationally and may vary in structure by the health issue. </w:t>
      </w:r>
    </w:p>
    <w:p w14:paraId="54705D33" w14:textId="77777777" w:rsidR="00D00718" w:rsidRDefault="00D00718" w:rsidP="00D00718">
      <w:pPr>
        <w:pStyle w:val="AMIABodyText"/>
      </w:pPr>
      <w:r>
        <w:rPr>
          <w:i/>
        </w:rPr>
        <w:t xml:space="preserve">Data Use, Exchange, and Patient Identification. </w:t>
      </w:r>
      <w:r w:rsidRPr="004A6B87">
        <w:t>A</w:t>
      </w:r>
      <w:r>
        <w:rPr>
          <w:i/>
        </w:rPr>
        <w:t xml:space="preserve"> </w:t>
      </w:r>
      <w:r>
        <w:t>number of countries have concerns about how data will be reused; this has manifested through policies that require individual-level data remain at the site where the data was collected to one-way data flow to the national/MoH level but not back down to the point of care for real-time care decision makers. Data are frequently reported to the MoH at aggregate levels, supporting M&amp;E reports for donors. However, most LMIC envision HIE supporting individual level health exchange. As expected, patient identification was identified as an important concept for matching records with legal, cultural, and governance factors to consider.</w:t>
      </w:r>
    </w:p>
    <w:p w14:paraId="75B43EE6" w14:textId="77777777" w:rsidR="00D00718" w:rsidRDefault="00D00718" w:rsidP="00D00718">
      <w:pPr>
        <w:pStyle w:val="AMIABodyText"/>
      </w:pPr>
      <w:r>
        <w:rPr>
          <w:i/>
        </w:rPr>
        <w:t xml:space="preserve">Legal Tools for Data Exchange, Privacy, and Security. </w:t>
      </w:r>
      <w:r>
        <w:t xml:space="preserve">Where the MoH is the main player and policy setter, there normally exist data use and exchange guidance promulgated from the MoH. However, only one LMIC informant in the review indicated a legal data use and exchange agreement was in place. While many LMIC are investing in data infrastructure and standards, the majority indicated challenges in establishing business agreements for data exchange. Some LMIC have laws or policies in place regarding privacy and security of health information. There appears to be a dearth of overarching legal frameworks for privacy and security, though procedures have usually been established through individual projects and implementations. </w:t>
      </w:r>
    </w:p>
    <w:p w14:paraId="1EDDE170" w14:textId="77777777" w:rsidR="00D00718" w:rsidRDefault="00D00718" w:rsidP="00D00718">
      <w:pPr>
        <w:pStyle w:val="AMIAHeading"/>
        <w:spacing w:before="0"/>
      </w:pPr>
      <w:r>
        <w:t>Discussion</w:t>
      </w:r>
    </w:p>
    <w:p w14:paraId="411E3E1C" w14:textId="77777777" w:rsidR="00D00718" w:rsidRDefault="00D00718" w:rsidP="00D00718">
      <w:pPr>
        <w:pStyle w:val="AMIABodyText"/>
      </w:pPr>
      <w:r>
        <w:t xml:space="preserve">These findings provide a snapshot of HIE efforts in LMIC across the globe, illustrating significant variability in the completeness of and success implementing policies and procedures that support in-country HIE and governance of data use. Great attention is being paid to HIE; however LMIC have experienced challenges moving from strategy to implementation. Variation exists around use cases, governance models, data stewardship, patient identification, composition of legal agreements, and the role of privacy and security. Addressing intra-country and future inter-country or cross border regional HIE needs will require consistent agreements that rely upon a clear or common understanding of data provenance, including data ownership. As we have seen with recent epidemic outbreaks, the ability to acquire and share regional health data is critical to ensure timely collective action. </w:t>
      </w:r>
    </w:p>
    <w:p w14:paraId="40418965" w14:textId="77777777" w:rsidR="00D00718" w:rsidRDefault="00D00718" w:rsidP="00D00718">
      <w:pPr>
        <w:pStyle w:val="AMIABodyText"/>
      </w:pPr>
      <w:r>
        <w:t xml:space="preserve">Technology solutions are available for HIE but the implementation of business processes and legal tools have lagged behind the technology. Based on these findings, we suggest that 1) countries and regions should ensure there is a consistent governance model for HIE and interoperability, and 2) development of a global framework for the key policy and procedure decisions supporting HIE and interoperability can accelerate the actualization of data sharing, leading to improved data use and better health outcomes.  </w:t>
      </w:r>
    </w:p>
    <w:p w14:paraId="2D40BDA3" w14:textId="77777777" w:rsidR="00D00718" w:rsidRDefault="00D00718" w:rsidP="00D00718">
      <w:pPr>
        <w:pStyle w:val="AMIAReferenceHeading"/>
        <w:spacing w:before="0"/>
        <w:jc w:val="both"/>
      </w:pPr>
      <w:r>
        <w:t>References</w:t>
      </w:r>
    </w:p>
    <w:p w14:paraId="27B7D6CE" w14:textId="77777777" w:rsidR="00D00718" w:rsidRDefault="00D00718" w:rsidP="00D00718">
      <w:pPr>
        <w:pStyle w:val="AMIAReference"/>
      </w:pPr>
      <w:r>
        <w:t>Wyber R, Vaillancourt S, Perry W, Mannava P, Folaranmi T, Celi LA. Big data in global health: improving health in low- and middle-income countries. Bull World Health Organ 2015;93(3):203-8.</w:t>
      </w:r>
    </w:p>
    <w:p w14:paraId="52B86657" w14:textId="77777777" w:rsidR="00D00718" w:rsidRDefault="00D00718" w:rsidP="00D00718">
      <w:pPr>
        <w:pStyle w:val="AMIAReference"/>
      </w:pPr>
      <w:r>
        <w:t>Egelstaff R, Wells M. Data governance frameworks and change management. Stud Health Technol Infom 2013;193:108-19.</w:t>
      </w:r>
    </w:p>
    <w:p w14:paraId="073AF8B7" w14:textId="77777777" w:rsidR="00D00718" w:rsidRDefault="00D00718" w:rsidP="00D00718">
      <w:pPr>
        <w:pStyle w:val="AMIAReference"/>
      </w:pPr>
      <w:r>
        <w:t xml:space="preserve">World Health Organization. Global Observatory for eHealth Publications. </w:t>
      </w:r>
      <w:hyperlink r:id="rId69" w:history="1">
        <w:r w:rsidRPr="00610BF9">
          <w:rPr>
            <w:rStyle w:val="Hyperlink"/>
          </w:rPr>
          <w:t>http://www.who.int/goe/publications/en/</w:t>
        </w:r>
      </w:hyperlink>
      <w:r w:rsidRPr="005D728C">
        <w:rPr>
          <w:rStyle w:val="Hyperlink"/>
        </w:rPr>
        <w:t>.</w:t>
      </w:r>
      <w:r>
        <w:t xml:space="preserve"> Accessed 28 Feb 2016.</w:t>
      </w:r>
    </w:p>
    <w:p w14:paraId="7C64478A" w14:textId="77777777" w:rsidR="00D00718" w:rsidRDefault="00D00718" w:rsidP="00D00718">
      <w:pPr>
        <w:pStyle w:val="ListParagraph"/>
        <w:ind w:left="0"/>
        <w:jc w:val="center"/>
        <w:rPr>
          <w:rFonts w:asciiTheme="majorHAnsi" w:hAnsiTheme="majorHAnsi"/>
          <w:b/>
          <w:sz w:val="28"/>
          <w:szCs w:val="28"/>
        </w:rPr>
      </w:pPr>
    </w:p>
    <w:p w14:paraId="2E1968C7" w14:textId="77777777" w:rsidR="00CB05D6" w:rsidRDefault="00CB05D6" w:rsidP="00CB05D6">
      <w:pPr>
        <w:jc w:val="center"/>
        <w:rPr>
          <w:rFonts w:asciiTheme="majorHAnsi" w:hAnsiTheme="majorHAnsi"/>
          <w:b/>
          <w:sz w:val="28"/>
          <w:szCs w:val="28"/>
        </w:rPr>
      </w:pPr>
    </w:p>
    <w:p w14:paraId="1FD566A6" w14:textId="77777777" w:rsidR="00CB05D6" w:rsidRPr="00CB05D6" w:rsidRDefault="00CB05D6" w:rsidP="00CB05D6">
      <w:pPr>
        <w:jc w:val="center"/>
        <w:rPr>
          <w:rFonts w:asciiTheme="majorHAnsi" w:hAnsiTheme="majorHAnsi"/>
          <w:b/>
          <w:sz w:val="28"/>
          <w:szCs w:val="28"/>
        </w:rPr>
      </w:pPr>
    </w:p>
    <w:sectPr w:rsidR="00CB05D6" w:rsidRPr="00CB05D6">
      <w:headerReference w:type="even" r:id="rId70"/>
      <w:headerReference w:type="default" r:id="rId71"/>
      <w:footerReference w:type="even" r:id="rId72"/>
      <w:footerReference w:type="default" r:id="rId73"/>
      <w:headerReference w:type="first" r:id="rId74"/>
      <w:footnotePr>
        <w:numFmt w:val="lowerLetter"/>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3693C" w14:textId="77777777" w:rsidR="00A7673C" w:rsidRDefault="00A7673C" w:rsidP="003E688F">
      <w:r>
        <w:separator/>
      </w:r>
    </w:p>
  </w:endnote>
  <w:endnote w:type="continuationSeparator" w:id="0">
    <w:p w14:paraId="076C9F7E" w14:textId="77777777" w:rsidR="00A7673C" w:rsidRDefault="00A7673C" w:rsidP="003E6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825934"/>
      <w:docPartObj>
        <w:docPartGallery w:val="Page Numbers (Bottom of Page)"/>
        <w:docPartUnique/>
      </w:docPartObj>
    </w:sdtPr>
    <w:sdtEndPr>
      <w:rPr>
        <w:noProof/>
        <w:color w:val="FFFFFF" w:themeColor="background1"/>
      </w:rPr>
    </w:sdtEndPr>
    <w:sdtContent>
      <w:p w14:paraId="14980668" w14:textId="77777777" w:rsidR="00152112" w:rsidRPr="003E688F" w:rsidRDefault="00152112">
        <w:pPr>
          <w:pStyle w:val="Footer"/>
          <w:jc w:val="center"/>
          <w:rPr>
            <w:color w:val="FFFFFF" w:themeColor="background1"/>
          </w:rPr>
        </w:pPr>
        <w:r w:rsidRPr="003E688F">
          <w:rPr>
            <w:color w:val="FFFFFF" w:themeColor="background1"/>
          </w:rPr>
          <w:fldChar w:fldCharType="begin"/>
        </w:r>
        <w:r w:rsidRPr="003E688F">
          <w:rPr>
            <w:color w:val="FFFFFF" w:themeColor="background1"/>
          </w:rPr>
          <w:instrText xml:space="preserve"> PAGE   \* MERGEFORMAT </w:instrText>
        </w:r>
        <w:r w:rsidRPr="003E688F">
          <w:rPr>
            <w:color w:val="FFFFFF" w:themeColor="background1"/>
          </w:rPr>
          <w:fldChar w:fldCharType="separate"/>
        </w:r>
        <w:r w:rsidR="00BB0ADA">
          <w:rPr>
            <w:noProof/>
            <w:color w:val="FFFFFF" w:themeColor="background1"/>
          </w:rPr>
          <w:t>2</w:t>
        </w:r>
        <w:r w:rsidRPr="003E688F">
          <w:rPr>
            <w:noProof/>
            <w:color w:val="FFFFFF" w:themeColor="background1"/>
          </w:rPr>
          <w:fldChar w:fldCharType="end"/>
        </w:r>
      </w:p>
    </w:sdtContent>
  </w:sdt>
  <w:p w14:paraId="273A8D36" w14:textId="77777777" w:rsidR="00152112" w:rsidRDefault="001521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750476"/>
      <w:docPartObj>
        <w:docPartGallery w:val="Page Numbers (Bottom of Page)"/>
        <w:docPartUnique/>
      </w:docPartObj>
    </w:sdtPr>
    <w:sdtEndPr>
      <w:rPr>
        <w:noProof/>
      </w:rPr>
    </w:sdtEndPr>
    <w:sdtContent>
      <w:p w14:paraId="479D1BA9" w14:textId="77777777" w:rsidR="00152112" w:rsidRDefault="00152112">
        <w:pPr>
          <w:pStyle w:val="Footer"/>
          <w:jc w:val="center"/>
        </w:pPr>
        <w:r>
          <w:fldChar w:fldCharType="begin"/>
        </w:r>
        <w:r>
          <w:instrText xml:space="preserve"> PAGE   \* MERGEFORMAT </w:instrText>
        </w:r>
        <w:r>
          <w:fldChar w:fldCharType="separate"/>
        </w:r>
        <w:r w:rsidR="00BB0ADA">
          <w:rPr>
            <w:noProof/>
          </w:rPr>
          <w:t>4</w:t>
        </w:r>
        <w:r>
          <w:rPr>
            <w:noProof/>
          </w:rPr>
          <w:fldChar w:fldCharType="end"/>
        </w:r>
      </w:p>
    </w:sdtContent>
  </w:sdt>
  <w:p w14:paraId="713AEB4C" w14:textId="77777777" w:rsidR="00152112" w:rsidRDefault="001521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768B1" w14:textId="77777777" w:rsidR="00152112" w:rsidRDefault="001521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D783B05" w14:textId="77777777" w:rsidR="00152112" w:rsidRDefault="0015211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531120"/>
      <w:docPartObj>
        <w:docPartGallery w:val="Page Numbers (Bottom of Page)"/>
        <w:docPartUnique/>
      </w:docPartObj>
    </w:sdtPr>
    <w:sdtEndPr>
      <w:rPr>
        <w:noProof/>
      </w:rPr>
    </w:sdtEndPr>
    <w:sdtContent>
      <w:p w14:paraId="684C6CE4" w14:textId="5C305387" w:rsidR="00152112" w:rsidRDefault="00152112">
        <w:pPr>
          <w:pStyle w:val="Footer"/>
          <w:jc w:val="center"/>
        </w:pPr>
        <w:r>
          <w:fldChar w:fldCharType="begin"/>
        </w:r>
        <w:r>
          <w:instrText xml:space="preserve"> PAGE   \* MERGEFORMAT </w:instrText>
        </w:r>
        <w:r>
          <w:fldChar w:fldCharType="separate"/>
        </w:r>
        <w:r w:rsidR="004642C0">
          <w:rPr>
            <w:noProof/>
          </w:rPr>
          <w:t>87</w:t>
        </w:r>
        <w:r>
          <w:rPr>
            <w:noProof/>
          </w:rPr>
          <w:fldChar w:fldCharType="end"/>
        </w:r>
      </w:p>
    </w:sdtContent>
  </w:sdt>
  <w:p w14:paraId="5DB2D724" w14:textId="77777777" w:rsidR="00152112" w:rsidRDefault="0015211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96703" w14:textId="77777777" w:rsidR="00A7673C" w:rsidRDefault="00A7673C" w:rsidP="003E688F">
      <w:r>
        <w:separator/>
      </w:r>
    </w:p>
  </w:footnote>
  <w:footnote w:type="continuationSeparator" w:id="0">
    <w:p w14:paraId="7B50C655" w14:textId="77777777" w:rsidR="00A7673C" w:rsidRDefault="00A7673C" w:rsidP="003E688F">
      <w:r>
        <w:continuationSeparator/>
      </w:r>
    </w:p>
  </w:footnote>
  <w:footnote w:id="1">
    <w:p w14:paraId="225A443C" w14:textId="0457712D" w:rsidR="003A12CD" w:rsidRDefault="003A12CD">
      <w:pPr>
        <w:pStyle w:val="FootnoteText"/>
      </w:pPr>
      <w:r>
        <w:rPr>
          <w:rStyle w:val="FootnoteReference"/>
        </w:rPr>
        <w:footnoteRef/>
      </w:r>
      <w:r>
        <w:t xml:space="preserve"> Note these classifications are by geographic region, </w:t>
      </w:r>
      <w:r w:rsidR="000C48AE">
        <w:t>rather than</w:t>
      </w:r>
      <w:r>
        <w:t xml:space="preserve"> WHO region.</w:t>
      </w:r>
    </w:p>
  </w:footnote>
  <w:footnote w:id="2">
    <w:p w14:paraId="3E187EAA" w14:textId="305FD8B8"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3">
    <w:p w14:paraId="3B862DBF" w14:textId="7BD73B38"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4">
    <w:p w14:paraId="1EC0E3CE" w14:textId="1200E861" w:rsidR="00152112" w:rsidRDefault="00152112">
      <w:pPr>
        <w:pStyle w:val="FootnoteText"/>
      </w:pPr>
      <w:r>
        <w:rPr>
          <w:rStyle w:val="FootnoteReference"/>
        </w:rPr>
        <w:footnoteRef/>
      </w:r>
      <w:r>
        <w:t xml:space="preserve"> Please refer to the </w:t>
      </w:r>
      <w:r w:rsidRPr="00D70730">
        <w:rPr>
          <w:i/>
        </w:rPr>
        <w:t>Best Practices Feature #1</w:t>
      </w:r>
      <w:r>
        <w:t xml:space="preserve"> </w:t>
      </w:r>
      <w:r w:rsidRPr="00D70730">
        <w:rPr>
          <w:color w:val="A6A6A6" w:themeColor="background1" w:themeShade="A6"/>
        </w:rPr>
        <w:t xml:space="preserve">(page </w:t>
      </w:r>
      <w:r w:rsidR="00E54FAE" w:rsidRPr="00D70730">
        <w:rPr>
          <w:color w:val="A6A6A6" w:themeColor="background1" w:themeShade="A6"/>
        </w:rPr>
        <w:fldChar w:fldCharType="begin"/>
      </w:r>
      <w:r w:rsidR="00E54FAE" w:rsidRPr="00D70730">
        <w:rPr>
          <w:color w:val="A6A6A6" w:themeColor="background1" w:themeShade="A6"/>
        </w:rPr>
        <w:instrText xml:space="preserve"> PAGEREF _Ref445721424 \h </w:instrText>
      </w:r>
      <w:r w:rsidR="00E54FAE" w:rsidRPr="00D70730">
        <w:rPr>
          <w:color w:val="A6A6A6" w:themeColor="background1" w:themeShade="A6"/>
        </w:rPr>
      </w:r>
      <w:r w:rsidR="00E54FAE" w:rsidRPr="00D70730">
        <w:rPr>
          <w:color w:val="A6A6A6" w:themeColor="background1" w:themeShade="A6"/>
        </w:rPr>
        <w:fldChar w:fldCharType="separate"/>
      </w:r>
      <w:r w:rsidR="00E54FAE" w:rsidRPr="00D70730">
        <w:rPr>
          <w:noProof/>
          <w:color w:val="A6A6A6" w:themeColor="background1" w:themeShade="A6"/>
        </w:rPr>
        <w:t>1</w:t>
      </w:r>
      <w:r w:rsidR="00E54FAE">
        <w:rPr>
          <w:noProof/>
          <w:color w:val="A6A6A6" w:themeColor="background1" w:themeShade="A6"/>
        </w:rPr>
        <w:t>9</w:t>
      </w:r>
      <w:r w:rsidR="00E54FAE" w:rsidRPr="00D70730">
        <w:rPr>
          <w:color w:val="A6A6A6" w:themeColor="background1" w:themeShade="A6"/>
        </w:rPr>
        <w:fldChar w:fldCharType="end"/>
      </w:r>
      <w:r w:rsidRPr="00D70730">
        <w:rPr>
          <w:color w:val="A6A6A6" w:themeColor="background1" w:themeShade="A6"/>
        </w:rPr>
        <w:t>)</w:t>
      </w:r>
      <w:r>
        <w:t xml:space="preserve"> for more information.</w:t>
      </w:r>
    </w:p>
  </w:footnote>
  <w:footnote w:id="5">
    <w:p w14:paraId="47D821C2" w14:textId="3555C11F"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6">
    <w:p w14:paraId="4EB5932C" w14:textId="77777777" w:rsidR="00152112" w:rsidRDefault="00152112" w:rsidP="005F1B06">
      <w:pPr>
        <w:pStyle w:val="FootnoteText"/>
      </w:pPr>
      <w:r>
        <w:rPr>
          <w:rStyle w:val="FootnoteReference"/>
        </w:rPr>
        <w:footnoteRef/>
      </w:r>
      <w:r>
        <w:t xml:space="preserve"> OGEI – Oficina General de Estadística e Informática (General Office of Statistics and Information)</w:t>
      </w:r>
    </w:p>
  </w:footnote>
  <w:footnote w:id="7">
    <w:p w14:paraId="34CA4924" w14:textId="0F68DF71"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8">
    <w:p w14:paraId="390BCA57" w14:textId="47DF7F78" w:rsidR="00152112" w:rsidRDefault="00152112">
      <w:pPr>
        <w:pStyle w:val="FootnoteText"/>
      </w:pPr>
      <w:r>
        <w:rPr>
          <w:rStyle w:val="FootnoteReference"/>
        </w:rPr>
        <w:footnoteRef/>
      </w:r>
      <w:r>
        <w:t xml:space="preserve"> Please refer to the </w:t>
      </w:r>
      <w:r w:rsidRPr="00D70730">
        <w:rPr>
          <w:i/>
        </w:rPr>
        <w:t>Best Practices Feature #2</w:t>
      </w:r>
      <w:r>
        <w:t xml:space="preserve"> </w:t>
      </w:r>
      <w:r w:rsidRPr="00D70730">
        <w:rPr>
          <w:color w:val="A6A6A6" w:themeColor="background1" w:themeShade="A6"/>
        </w:rPr>
        <w:t xml:space="preserve">(page </w:t>
      </w:r>
      <w:r w:rsidR="00E54FAE" w:rsidRPr="00D70730">
        <w:rPr>
          <w:color w:val="A6A6A6" w:themeColor="background1" w:themeShade="A6"/>
        </w:rPr>
        <w:fldChar w:fldCharType="begin"/>
      </w:r>
      <w:r w:rsidR="00E54FAE" w:rsidRPr="00D70730">
        <w:rPr>
          <w:color w:val="A6A6A6" w:themeColor="background1" w:themeShade="A6"/>
        </w:rPr>
        <w:instrText xml:space="preserve"> PAGEREF _Ref445732467 \h </w:instrText>
      </w:r>
      <w:r w:rsidR="00E54FAE" w:rsidRPr="00D70730">
        <w:rPr>
          <w:color w:val="A6A6A6" w:themeColor="background1" w:themeShade="A6"/>
        </w:rPr>
      </w:r>
      <w:r w:rsidR="00E54FAE" w:rsidRPr="00D70730">
        <w:rPr>
          <w:color w:val="A6A6A6" w:themeColor="background1" w:themeShade="A6"/>
        </w:rPr>
        <w:fldChar w:fldCharType="separate"/>
      </w:r>
      <w:r w:rsidR="00E54FAE" w:rsidRPr="00D70730">
        <w:rPr>
          <w:noProof/>
          <w:color w:val="A6A6A6" w:themeColor="background1" w:themeShade="A6"/>
        </w:rPr>
        <w:t>2</w:t>
      </w:r>
      <w:r w:rsidR="00E54FAE">
        <w:rPr>
          <w:noProof/>
          <w:color w:val="A6A6A6" w:themeColor="background1" w:themeShade="A6"/>
        </w:rPr>
        <w:t>4</w:t>
      </w:r>
      <w:r w:rsidR="00E54FAE" w:rsidRPr="00D70730">
        <w:rPr>
          <w:color w:val="A6A6A6" w:themeColor="background1" w:themeShade="A6"/>
        </w:rPr>
        <w:fldChar w:fldCharType="end"/>
      </w:r>
      <w:r w:rsidRPr="00D70730">
        <w:rPr>
          <w:color w:val="A6A6A6" w:themeColor="background1" w:themeShade="A6"/>
        </w:rPr>
        <w:t xml:space="preserve">) </w:t>
      </w:r>
      <w:r>
        <w:t>for more information.</w:t>
      </w:r>
    </w:p>
  </w:footnote>
  <w:footnote w:id="9">
    <w:p w14:paraId="70970029" w14:textId="6429FB34" w:rsidR="00152112" w:rsidRDefault="00152112">
      <w:pPr>
        <w:pStyle w:val="FootnoteText"/>
      </w:pPr>
      <w:r>
        <w:rPr>
          <w:rStyle w:val="FootnoteReference"/>
        </w:rPr>
        <w:footnoteRef/>
      </w:r>
      <w:r>
        <w:t xml:space="preserve"> Please refer to the </w:t>
      </w:r>
      <w:r w:rsidRPr="00D70730">
        <w:rPr>
          <w:i/>
        </w:rPr>
        <w:t>Best Practices Feature #3</w:t>
      </w:r>
      <w:r>
        <w:t xml:space="preserve"> </w:t>
      </w:r>
      <w:r w:rsidRPr="00D70730">
        <w:rPr>
          <w:color w:val="A6A6A6" w:themeColor="background1" w:themeShade="A6"/>
        </w:rPr>
        <w:t xml:space="preserve">(page </w:t>
      </w:r>
      <w:r w:rsidR="00E54FAE" w:rsidRPr="00D70730">
        <w:rPr>
          <w:color w:val="A6A6A6" w:themeColor="background1" w:themeShade="A6"/>
        </w:rPr>
        <w:fldChar w:fldCharType="begin"/>
      </w:r>
      <w:r w:rsidR="00E54FAE" w:rsidRPr="00D70730">
        <w:rPr>
          <w:color w:val="A6A6A6" w:themeColor="background1" w:themeShade="A6"/>
        </w:rPr>
        <w:instrText xml:space="preserve"> PAGEREF _Ref445202059 \h </w:instrText>
      </w:r>
      <w:r w:rsidR="00E54FAE" w:rsidRPr="00D70730">
        <w:rPr>
          <w:color w:val="A6A6A6" w:themeColor="background1" w:themeShade="A6"/>
        </w:rPr>
      </w:r>
      <w:r w:rsidR="00E54FAE" w:rsidRPr="00D70730">
        <w:rPr>
          <w:color w:val="A6A6A6" w:themeColor="background1" w:themeShade="A6"/>
        </w:rPr>
        <w:fldChar w:fldCharType="separate"/>
      </w:r>
      <w:r w:rsidR="00E54FAE" w:rsidRPr="00D70730">
        <w:rPr>
          <w:noProof/>
          <w:color w:val="A6A6A6" w:themeColor="background1" w:themeShade="A6"/>
        </w:rPr>
        <w:t>2</w:t>
      </w:r>
      <w:r w:rsidR="00E54FAE">
        <w:rPr>
          <w:noProof/>
          <w:color w:val="A6A6A6" w:themeColor="background1" w:themeShade="A6"/>
        </w:rPr>
        <w:t>9</w:t>
      </w:r>
      <w:r w:rsidR="00E54FAE" w:rsidRPr="00D70730">
        <w:rPr>
          <w:color w:val="A6A6A6" w:themeColor="background1" w:themeShade="A6"/>
        </w:rPr>
        <w:fldChar w:fldCharType="end"/>
      </w:r>
      <w:r w:rsidRPr="00D70730">
        <w:rPr>
          <w:color w:val="A6A6A6" w:themeColor="background1" w:themeShade="A6"/>
        </w:rPr>
        <w:t>)</w:t>
      </w:r>
      <w:r>
        <w:t xml:space="preserve"> for more information.</w:t>
      </w:r>
    </w:p>
  </w:footnote>
  <w:footnote w:id="10">
    <w:p w14:paraId="4512B960" w14:textId="0CB129AE"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11">
    <w:p w14:paraId="17153170" w14:textId="3996E736" w:rsidR="00152112" w:rsidRDefault="00152112">
      <w:pPr>
        <w:pStyle w:val="FootnoteText"/>
      </w:pPr>
      <w:r>
        <w:rPr>
          <w:rStyle w:val="FootnoteReference"/>
        </w:rPr>
        <w:footnoteRef/>
      </w:r>
      <w:r>
        <w:t xml:space="preserve"> The MOU between Kambia District and Forécariah District can be found in Appendix C </w:t>
      </w:r>
      <w:r w:rsidRPr="00900CD8">
        <w:rPr>
          <w:color w:val="7F7F7F" w:themeColor="text1" w:themeTint="80"/>
        </w:rPr>
        <w:t xml:space="preserve">(page </w:t>
      </w:r>
      <w:r w:rsidR="00E54FAE" w:rsidRPr="00900CD8">
        <w:rPr>
          <w:color w:val="7F7F7F" w:themeColor="text1" w:themeTint="80"/>
        </w:rPr>
        <w:fldChar w:fldCharType="begin"/>
      </w:r>
      <w:r w:rsidR="00E54FAE" w:rsidRPr="00900CD8">
        <w:rPr>
          <w:color w:val="7F7F7F" w:themeColor="text1" w:themeTint="80"/>
        </w:rPr>
        <w:instrText xml:space="preserve"> PAGEREF _Ref446937898 \h </w:instrText>
      </w:r>
      <w:r w:rsidR="00E54FAE" w:rsidRPr="00900CD8">
        <w:rPr>
          <w:color w:val="7F7F7F" w:themeColor="text1" w:themeTint="80"/>
        </w:rPr>
      </w:r>
      <w:r w:rsidR="00E54FAE" w:rsidRPr="00900CD8">
        <w:rPr>
          <w:color w:val="7F7F7F" w:themeColor="text1" w:themeTint="80"/>
        </w:rPr>
        <w:fldChar w:fldCharType="separate"/>
      </w:r>
      <w:r w:rsidR="00E54FAE" w:rsidRPr="00900CD8">
        <w:rPr>
          <w:noProof/>
          <w:color w:val="7F7F7F" w:themeColor="text1" w:themeTint="80"/>
        </w:rPr>
        <w:t>7</w:t>
      </w:r>
      <w:r w:rsidR="00E54FAE">
        <w:rPr>
          <w:noProof/>
          <w:color w:val="7F7F7F" w:themeColor="text1" w:themeTint="80"/>
        </w:rPr>
        <w:t>4</w:t>
      </w:r>
      <w:r w:rsidR="00E54FAE" w:rsidRPr="00900CD8">
        <w:rPr>
          <w:color w:val="7F7F7F" w:themeColor="text1" w:themeTint="80"/>
        </w:rPr>
        <w:fldChar w:fldCharType="end"/>
      </w:r>
      <w:r w:rsidRPr="00900CD8">
        <w:rPr>
          <w:color w:val="7F7F7F" w:themeColor="text1" w:themeTint="80"/>
        </w:rPr>
        <w:t>)</w:t>
      </w:r>
      <w:r>
        <w:t>.</w:t>
      </w:r>
    </w:p>
  </w:footnote>
  <w:footnote w:id="12">
    <w:p w14:paraId="126137BA" w14:textId="5E7E0417"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13">
    <w:p w14:paraId="4241ADD0" w14:textId="6D30DCFA" w:rsidR="00152112" w:rsidRDefault="00152112">
      <w:pPr>
        <w:pStyle w:val="FootnoteText"/>
      </w:pPr>
      <w:r>
        <w:rPr>
          <w:rStyle w:val="FootnoteReference"/>
        </w:rPr>
        <w:footnoteRef/>
      </w:r>
      <w:r>
        <w:t xml:space="preserve"> This issue has only been identified in </w:t>
      </w:r>
      <w:r w:rsidR="00E038DA">
        <w:t>North America</w:t>
      </w:r>
      <w:r>
        <w:t xml:space="preserve"> thus far per the review.</w:t>
      </w:r>
    </w:p>
  </w:footnote>
  <w:footnote w:id="14">
    <w:p w14:paraId="63ED2783" w14:textId="02FF8002" w:rsidR="00152112" w:rsidRDefault="00152112">
      <w:pPr>
        <w:pStyle w:val="FootnoteText"/>
      </w:pPr>
      <w:r>
        <w:rPr>
          <w:rStyle w:val="FootnoteReference"/>
        </w:rPr>
        <w:footnoteRef/>
      </w:r>
      <w:r>
        <w:t xml:space="preserve"> This issue has only been identified in the United States thus far per the review.</w:t>
      </w:r>
    </w:p>
  </w:footnote>
  <w:footnote w:id="15">
    <w:p w14:paraId="74F952CE" w14:textId="77777777" w:rsidR="00152112" w:rsidRDefault="00152112" w:rsidP="006C3904">
      <w:pPr>
        <w:pStyle w:val="FootnoteText"/>
      </w:pPr>
      <w:r>
        <w:rPr>
          <w:rStyle w:val="FootnoteReference"/>
        </w:rPr>
        <w:footnoteRef/>
      </w:r>
      <w:r>
        <w:t xml:space="preserve"> Note that the IHS MPA requires its Members to comply with the terms and conditions of the eHealth Exchange DURSA. This Table only presents the content that is explicitly included in the IHS MPA, not what is implicit through the DURSA requirement.</w:t>
      </w:r>
    </w:p>
  </w:footnote>
  <w:footnote w:id="16">
    <w:p w14:paraId="123583F1" w14:textId="35F1BB77" w:rsidR="004C3278" w:rsidRDefault="004C3278">
      <w:pPr>
        <w:pStyle w:val="FootnoteText"/>
      </w:pPr>
      <w:r>
        <w:rPr>
          <w:rStyle w:val="FootnoteReference"/>
        </w:rPr>
        <w:footnoteRef/>
      </w:r>
      <w:r>
        <w:t xml:space="preserve"> At least one country in the region has implemented or is planning to implement the example option. This does not mean the option has been implemented throughout the entire region.</w:t>
      </w:r>
    </w:p>
  </w:footnote>
  <w:footnote w:id="17">
    <w:p w14:paraId="30D080E1" w14:textId="79301D57" w:rsidR="00152112" w:rsidRDefault="00152112" w:rsidP="00794BDC">
      <w:pPr>
        <w:pStyle w:val="FootnoteText"/>
      </w:pPr>
      <w:r>
        <w:rPr>
          <w:rStyle w:val="FootnoteReference"/>
        </w:rPr>
        <w:footnoteRef/>
      </w:r>
      <w:r>
        <w:t xml:space="preserve"> These reflect the most recent strategic plan available</w:t>
      </w:r>
      <w:r w:rsidR="009429D8">
        <w:t xml:space="preserve"> from February-March 2016</w:t>
      </w:r>
      <w:r>
        <w:t xml:space="preserve"> through an Internet search, from contributors, or using the WHO Directory of eHealth policies (</w:t>
      </w:r>
      <w:hyperlink r:id="rId1" w:history="1">
        <w:r w:rsidRPr="00C66E9D">
          <w:rPr>
            <w:rStyle w:val="Hyperlink"/>
          </w:rPr>
          <w:t>http://www.who.int/goe/policies/countries/en/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69D5D" w14:textId="2C72516C" w:rsidR="00152112" w:rsidRDefault="001521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C011B" w14:textId="38AA5E52" w:rsidR="00152112" w:rsidRDefault="001521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4429" w14:textId="1538506E" w:rsidR="00152112" w:rsidRDefault="001521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FBC29" w14:textId="16D32974" w:rsidR="00152112" w:rsidRDefault="001521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C6267" w14:textId="3DEA11B2" w:rsidR="00152112" w:rsidRDefault="001521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DE81E" w14:textId="7AF15191" w:rsidR="00152112" w:rsidRDefault="001521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0E1AD" w14:textId="6F2A5F40" w:rsidR="00152112" w:rsidRDefault="001521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7E5FA" w14:textId="47950F23" w:rsidR="00152112" w:rsidRDefault="001521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450D8" w14:textId="57B5A93D" w:rsidR="00152112" w:rsidRDefault="001521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1F4"/>
    <w:multiLevelType w:val="hybridMultilevel"/>
    <w:tmpl w:val="32EE4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37C8"/>
    <w:multiLevelType w:val="singleLevel"/>
    <w:tmpl w:val="B9C09148"/>
    <w:lvl w:ilvl="0">
      <w:start w:val="1"/>
      <w:numFmt w:val="decimal"/>
      <w:pStyle w:val="AMIAReference"/>
      <w:lvlText w:val="%1."/>
      <w:lvlJc w:val="left"/>
      <w:pPr>
        <w:tabs>
          <w:tab w:val="num" w:pos="360"/>
        </w:tabs>
        <w:ind w:left="360" w:hanging="360"/>
      </w:pPr>
      <w:rPr>
        <w:rFonts w:cs="Times New Roman"/>
      </w:rPr>
    </w:lvl>
  </w:abstractNum>
  <w:abstractNum w:abstractNumId="2" w15:restartNumberingAfterBreak="0">
    <w:nsid w:val="09BA558E"/>
    <w:multiLevelType w:val="hybridMultilevel"/>
    <w:tmpl w:val="217CD6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24EB1"/>
    <w:multiLevelType w:val="hybridMultilevel"/>
    <w:tmpl w:val="4B7C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96C91"/>
    <w:multiLevelType w:val="hybridMultilevel"/>
    <w:tmpl w:val="AE9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448D4"/>
    <w:multiLevelType w:val="hybridMultilevel"/>
    <w:tmpl w:val="6CD8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87815"/>
    <w:multiLevelType w:val="hybridMultilevel"/>
    <w:tmpl w:val="E940F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9281A"/>
    <w:multiLevelType w:val="hybridMultilevel"/>
    <w:tmpl w:val="49385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E73EB"/>
    <w:multiLevelType w:val="hybridMultilevel"/>
    <w:tmpl w:val="85709CDA"/>
    <w:lvl w:ilvl="0" w:tplc="F078AA08">
      <w:start w:val="1"/>
      <w:numFmt w:val="decimal"/>
      <w:lvlText w:val="%1."/>
      <w:lvlJc w:val="left"/>
      <w:pPr>
        <w:ind w:left="720" w:hanging="360"/>
      </w:pPr>
      <w:rPr>
        <w:rFonts w:cs="Times New Roman"/>
      </w:rPr>
    </w:lvl>
    <w:lvl w:ilvl="1" w:tplc="9E9C4B2C">
      <w:start w:val="1"/>
      <w:numFmt w:val="lowerLetter"/>
      <w:lvlText w:val="%2."/>
      <w:lvlJc w:val="left"/>
      <w:pPr>
        <w:ind w:left="1440" w:hanging="360"/>
      </w:pPr>
      <w:rPr>
        <w:rFonts w:cs="Times New Roman"/>
      </w:rPr>
    </w:lvl>
    <w:lvl w:ilvl="2" w:tplc="4A309646">
      <w:start w:val="1"/>
      <w:numFmt w:val="lowerRoman"/>
      <w:lvlText w:val="%3."/>
      <w:lvlJc w:val="right"/>
      <w:pPr>
        <w:ind w:left="2160" w:hanging="180"/>
      </w:pPr>
      <w:rPr>
        <w:rFonts w:cs="Times New Roman"/>
      </w:rPr>
    </w:lvl>
    <w:lvl w:ilvl="3" w:tplc="88022976">
      <w:start w:val="1"/>
      <w:numFmt w:val="decimal"/>
      <w:lvlText w:val="%4."/>
      <w:lvlJc w:val="left"/>
      <w:pPr>
        <w:ind w:left="2880" w:hanging="360"/>
      </w:pPr>
      <w:rPr>
        <w:rFonts w:cs="Times New Roman"/>
      </w:rPr>
    </w:lvl>
    <w:lvl w:ilvl="4" w:tplc="23168054">
      <w:start w:val="1"/>
      <w:numFmt w:val="lowerLetter"/>
      <w:lvlText w:val="%5."/>
      <w:lvlJc w:val="left"/>
      <w:pPr>
        <w:ind w:left="3600" w:hanging="360"/>
      </w:pPr>
      <w:rPr>
        <w:rFonts w:cs="Times New Roman"/>
      </w:rPr>
    </w:lvl>
    <w:lvl w:ilvl="5" w:tplc="B2C82A68">
      <w:start w:val="1"/>
      <w:numFmt w:val="lowerRoman"/>
      <w:lvlText w:val="%6."/>
      <w:lvlJc w:val="right"/>
      <w:pPr>
        <w:ind w:left="4320" w:hanging="180"/>
      </w:pPr>
      <w:rPr>
        <w:rFonts w:cs="Times New Roman"/>
      </w:rPr>
    </w:lvl>
    <w:lvl w:ilvl="6" w:tplc="2F484202">
      <w:start w:val="1"/>
      <w:numFmt w:val="decimal"/>
      <w:lvlText w:val="%7."/>
      <w:lvlJc w:val="left"/>
      <w:pPr>
        <w:ind w:left="5040" w:hanging="360"/>
      </w:pPr>
      <w:rPr>
        <w:rFonts w:cs="Times New Roman"/>
      </w:rPr>
    </w:lvl>
    <w:lvl w:ilvl="7" w:tplc="D7706DAE">
      <w:start w:val="1"/>
      <w:numFmt w:val="lowerLetter"/>
      <w:lvlText w:val="%8."/>
      <w:lvlJc w:val="left"/>
      <w:pPr>
        <w:ind w:left="5760" w:hanging="360"/>
      </w:pPr>
      <w:rPr>
        <w:rFonts w:cs="Times New Roman"/>
      </w:rPr>
    </w:lvl>
    <w:lvl w:ilvl="8" w:tplc="12CC71AA">
      <w:start w:val="1"/>
      <w:numFmt w:val="lowerRoman"/>
      <w:lvlText w:val="%9."/>
      <w:lvlJc w:val="right"/>
      <w:pPr>
        <w:ind w:left="6480" w:hanging="180"/>
      </w:pPr>
      <w:rPr>
        <w:rFonts w:cs="Times New Roman"/>
      </w:rPr>
    </w:lvl>
  </w:abstractNum>
  <w:abstractNum w:abstractNumId="9" w15:restartNumberingAfterBreak="0">
    <w:nsid w:val="1B3D1EDB"/>
    <w:multiLevelType w:val="hybridMultilevel"/>
    <w:tmpl w:val="B67406DC"/>
    <w:lvl w:ilvl="0" w:tplc="003E9C9C">
      <w:start w:val="1"/>
      <w:numFmt w:val="bullet"/>
      <w:lvlText w:val="•"/>
      <w:lvlJc w:val="left"/>
      <w:pPr>
        <w:tabs>
          <w:tab w:val="num" w:pos="360"/>
        </w:tabs>
        <w:ind w:left="360" w:hanging="360"/>
      </w:pPr>
      <w:rPr>
        <w:rFonts w:ascii="Arial" w:hAnsi="Arial" w:cs="Times New Roman" w:hint="default"/>
      </w:rPr>
    </w:lvl>
    <w:lvl w:ilvl="1" w:tplc="B7A8452E">
      <w:start w:val="753"/>
      <w:numFmt w:val="bullet"/>
      <w:lvlText w:val="–"/>
      <w:lvlJc w:val="left"/>
      <w:pPr>
        <w:tabs>
          <w:tab w:val="num" w:pos="1080"/>
        </w:tabs>
        <w:ind w:left="1080" w:hanging="360"/>
      </w:pPr>
      <w:rPr>
        <w:rFonts w:ascii="Arial" w:hAnsi="Arial" w:cs="Times New Roman" w:hint="default"/>
      </w:rPr>
    </w:lvl>
    <w:lvl w:ilvl="2" w:tplc="64325BFA">
      <w:start w:val="1"/>
      <w:numFmt w:val="bullet"/>
      <w:lvlText w:val="•"/>
      <w:lvlJc w:val="left"/>
      <w:pPr>
        <w:tabs>
          <w:tab w:val="num" w:pos="1800"/>
        </w:tabs>
        <w:ind w:left="1800" w:hanging="360"/>
      </w:pPr>
      <w:rPr>
        <w:rFonts w:ascii="Arial" w:hAnsi="Arial" w:cs="Times New Roman" w:hint="default"/>
      </w:rPr>
    </w:lvl>
    <w:lvl w:ilvl="3" w:tplc="0674DB0E">
      <w:start w:val="1"/>
      <w:numFmt w:val="bullet"/>
      <w:lvlText w:val="•"/>
      <w:lvlJc w:val="left"/>
      <w:pPr>
        <w:tabs>
          <w:tab w:val="num" w:pos="2520"/>
        </w:tabs>
        <w:ind w:left="2520" w:hanging="360"/>
      </w:pPr>
      <w:rPr>
        <w:rFonts w:ascii="Arial" w:hAnsi="Arial" w:cs="Times New Roman" w:hint="default"/>
      </w:rPr>
    </w:lvl>
    <w:lvl w:ilvl="4" w:tplc="5CB628AA">
      <w:start w:val="1"/>
      <w:numFmt w:val="bullet"/>
      <w:lvlText w:val="•"/>
      <w:lvlJc w:val="left"/>
      <w:pPr>
        <w:tabs>
          <w:tab w:val="num" w:pos="3240"/>
        </w:tabs>
        <w:ind w:left="3240" w:hanging="360"/>
      </w:pPr>
      <w:rPr>
        <w:rFonts w:ascii="Arial" w:hAnsi="Arial" w:cs="Times New Roman" w:hint="default"/>
      </w:rPr>
    </w:lvl>
    <w:lvl w:ilvl="5" w:tplc="85404F2E">
      <w:start w:val="1"/>
      <w:numFmt w:val="bullet"/>
      <w:lvlText w:val="•"/>
      <w:lvlJc w:val="left"/>
      <w:pPr>
        <w:tabs>
          <w:tab w:val="num" w:pos="3960"/>
        </w:tabs>
        <w:ind w:left="3960" w:hanging="360"/>
      </w:pPr>
      <w:rPr>
        <w:rFonts w:ascii="Arial" w:hAnsi="Arial" w:cs="Times New Roman" w:hint="default"/>
      </w:rPr>
    </w:lvl>
    <w:lvl w:ilvl="6" w:tplc="15247898">
      <w:start w:val="1"/>
      <w:numFmt w:val="bullet"/>
      <w:lvlText w:val="•"/>
      <w:lvlJc w:val="left"/>
      <w:pPr>
        <w:tabs>
          <w:tab w:val="num" w:pos="4680"/>
        </w:tabs>
        <w:ind w:left="4680" w:hanging="360"/>
      </w:pPr>
      <w:rPr>
        <w:rFonts w:ascii="Arial" w:hAnsi="Arial" w:cs="Times New Roman" w:hint="default"/>
      </w:rPr>
    </w:lvl>
    <w:lvl w:ilvl="7" w:tplc="D20A560C">
      <w:start w:val="1"/>
      <w:numFmt w:val="bullet"/>
      <w:lvlText w:val="•"/>
      <w:lvlJc w:val="left"/>
      <w:pPr>
        <w:tabs>
          <w:tab w:val="num" w:pos="5400"/>
        </w:tabs>
        <w:ind w:left="5400" w:hanging="360"/>
      </w:pPr>
      <w:rPr>
        <w:rFonts w:ascii="Arial" w:hAnsi="Arial" w:cs="Times New Roman" w:hint="default"/>
      </w:rPr>
    </w:lvl>
    <w:lvl w:ilvl="8" w:tplc="827A0B64">
      <w:start w:val="1"/>
      <w:numFmt w:val="bullet"/>
      <w:lvlText w:val="•"/>
      <w:lvlJc w:val="left"/>
      <w:pPr>
        <w:tabs>
          <w:tab w:val="num" w:pos="6120"/>
        </w:tabs>
        <w:ind w:left="6120" w:hanging="360"/>
      </w:pPr>
      <w:rPr>
        <w:rFonts w:ascii="Arial" w:hAnsi="Arial" w:cs="Times New Roman" w:hint="default"/>
      </w:rPr>
    </w:lvl>
  </w:abstractNum>
  <w:abstractNum w:abstractNumId="10" w15:restartNumberingAfterBreak="0">
    <w:nsid w:val="1BD62355"/>
    <w:multiLevelType w:val="hybridMultilevel"/>
    <w:tmpl w:val="58205224"/>
    <w:lvl w:ilvl="0" w:tplc="54CA5F28">
      <w:start w:val="1"/>
      <w:numFmt w:val="bullet"/>
      <w:lvlText w:val="•"/>
      <w:lvlJc w:val="left"/>
      <w:pPr>
        <w:tabs>
          <w:tab w:val="num" w:pos="360"/>
        </w:tabs>
        <w:ind w:left="360" w:hanging="360"/>
      </w:pPr>
      <w:rPr>
        <w:rFonts w:ascii="Arial" w:hAnsi="Arial" w:cs="Times New Roman" w:hint="default"/>
      </w:rPr>
    </w:lvl>
    <w:lvl w:ilvl="1" w:tplc="EFB20750">
      <w:start w:val="1"/>
      <w:numFmt w:val="bullet"/>
      <w:lvlText w:val="•"/>
      <w:lvlJc w:val="left"/>
      <w:pPr>
        <w:tabs>
          <w:tab w:val="num" w:pos="1080"/>
        </w:tabs>
        <w:ind w:left="1080" w:hanging="360"/>
      </w:pPr>
      <w:rPr>
        <w:rFonts w:ascii="Arial" w:hAnsi="Arial" w:cs="Times New Roman" w:hint="default"/>
      </w:rPr>
    </w:lvl>
    <w:lvl w:ilvl="2" w:tplc="040ECAFE">
      <w:start w:val="1"/>
      <w:numFmt w:val="bullet"/>
      <w:lvlText w:val="•"/>
      <w:lvlJc w:val="left"/>
      <w:pPr>
        <w:tabs>
          <w:tab w:val="num" w:pos="1800"/>
        </w:tabs>
        <w:ind w:left="1800" w:hanging="360"/>
      </w:pPr>
      <w:rPr>
        <w:rFonts w:ascii="Arial" w:hAnsi="Arial" w:cs="Times New Roman" w:hint="default"/>
      </w:rPr>
    </w:lvl>
    <w:lvl w:ilvl="3" w:tplc="0324D2E8">
      <w:start w:val="1"/>
      <w:numFmt w:val="bullet"/>
      <w:lvlText w:val="•"/>
      <w:lvlJc w:val="left"/>
      <w:pPr>
        <w:tabs>
          <w:tab w:val="num" w:pos="2520"/>
        </w:tabs>
        <w:ind w:left="2520" w:hanging="360"/>
      </w:pPr>
      <w:rPr>
        <w:rFonts w:ascii="Arial" w:hAnsi="Arial" w:cs="Times New Roman" w:hint="default"/>
      </w:rPr>
    </w:lvl>
    <w:lvl w:ilvl="4" w:tplc="BF58217A">
      <w:start w:val="1"/>
      <w:numFmt w:val="bullet"/>
      <w:lvlText w:val="•"/>
      <w:lvlJc w:val="left"/>
      <w:pPr>
        <w:tabs>
          <w:tab w:val="num" w:pos="3240"/>
        </w:tabs>
        <w:ind w:left="3240" w:hanging="360"/>
      </w:pPr>
      <w:rPr>
        <w:rFonts w:ascii="Arial" w:hAnsi="Arial" w:cs="Times New Roman" w:hint="default"/>
      </w:rPr>
    </w:lvl>
    <w:lvl w:ilvl="5" w:tplc="968CE99C">
      <w:start w:val="1"/>
      <w:numFmt w:val="bullet"/>
      <w:lvlText w:val="•"/>
      <w:lvlJc w:val="left"/>
      <w:pPr>
        <w:tabs>
          <w:tab w:val="num" w:pos="3960"/>
        </w:tabs>
        <w:ind w:left="3960" w:hanging="360"/>
      </w:pPr>
      <w:rPr>
        <w:rFonts w:ascii="Arial" w:hAnsi="Arial" w:cs="Times New Roman" w:hint="default"/>
      </w:rPr>
    </w:lvl>
    <w:lvl w:ilvl="6" w:tplc="CC962760">
      <w:start w:val="1"/>
      <w:numFmt w:val="bullet"/>
      <w:lvlText w:val="•"/>
      <w:lvlJc w:val="left"/>
      <w:pPr>
        <w:tabs>
          <w:tab w:val="num" w:pos="4680"/>
        </w:tabs>
        <w:ind w:left="4680" w:hanging="360"/>
      </w:pPr>
      <w:rPr>
        <w:rFonts w:ascii="Arial" w:hAnsi="Arial" w:cs="Times New Roman" w:hint="default"/>
      </w:rPr>
    </w:lvl>
    <w:lvl w:ilvl="7" w:tplc="EC004A16">
      <w:start w:val="1"/>
      <w:numFmt w:val="bullet"/>
      <w:lvlText w:val="•"/>
      <w:lvlJc w:val="left"/>
      <w:pPr>
        <w:tabs>
          <w:tab w:val="num" w:pos="5400"/>
        </w:tabs>
        <w:ind w:left="5400" w:hanging="360"/>
      </w:pPr>
      <w:rPr>
        <w:rFonts w:ascii="Arial" w:hAnsi="Arial" w:cs="Times New Roman" w:hint="default"/>
      </w:rPr>
    </w:lvl>
    <w:lvl w:ilvl="8" w:tplc="89446E5E">
      <w:start w:val="1"/>
      <w:numFmt w:val="bullet"/>
      <w:lvlText w:val="•"/>
      <w:lvlJc w:val="left"/>
      <w:pPr>
        <w:tabs>
          <w:tab w:val="num" w:pos="6120"/>
        </w:tabs>
        <w:ind w:left="6120" w:hanging="360"/>
      </w:pPr>
      <w:rPr>
        <w:rFonts w:ascii="Arial" w:hAnsi="Arial" w:cs="Times New Roman" w:hint="default"/>
      </w:rPr>
    </w:lvl>
  </w:abstractNum>
  <w:abstractNum w:abstractNumId="11" w15:restartNumberingAfterBreak="0">
    <w:nsid w:val="1C4123F4"/>
    <w:multiLevelType w:val="hybridMultilevel"/>
    <w:tmpl w:val="0042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C0780"/>
    <w:multiLevelType w:val="hybridMultilevel"/>
    <w:tmpl w:val="F69C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342B9"/>
    <w:multiLevelType w:val="hybridMultilevel"/>
    <w:tmpl w:val="F8AA4B38"/>
    <w:lvl w:ilvl="0" w:tplc="6EBA3294">
      <w:start w:val="1"/>
      <w:numFmt w:val="bullet"/>
      <w:lvlText w:val="•"/>
      <w:lvlJc w:val="left"/>
      <w:pPr>
        <w:tabs>
          <w:tab w:val="num" w:pos="360"/>
        </w:tabs>
        <w:ind w:left="360" w:hanging="360"/>
      </w:pPr>
      <w:rPr>
        <w:rFonts w:ascii="Arial" w:hAnsi="Arial" w:cs="Times New Roman" w:hint="default"/>
      </w:rPr>
    </w:lvl>
    <w:lvl w:ilvl="1" w:tplc="E5CC5D2E">
      <w:start w:val="1"/>
      <w:numFmt w:val="bullet"/>
      <w:lvlText w:val="•"/>
      <w:lvlJc w:val="left"/>
      <w:pPr>
        <w:tabs>
          <w:tab w:val="num" w:pos="1080"/>
        </w:tabs>
        <w:ind w:left="1080" w:hanging="360"/>
      </w:pPr>
      <w:rPr>
        <w:rFonts w:ascii="Arial" w:hAnsi="Arial" w:cs="Times New Roman" w:hint="default"/>
      </w:rPr>
    </w:lvl>
    <w:lvl w:ilvl="2" w:tplc="0CFC8D4E">
      <w:start w:val="1"/>
      <w:numFmt w:val="bullet"/>
      <w:lvlText w:val="•"/>
      <w:lvlJc w:val="left"/>
      <w:pPr>
        <w:tabs>
          <w:tab w:val="num" w:pos="1800"/>
        </w:tabs>
        <w:ind w:left="1800" w:hanging="360"/>
      </w:pPr>
      <w:rPr>
        <w:rFonts w:ascii="Arial" w:hAnsi="Arial" w:cs="Times New Roman" w:hint="default"/>
      </w:rPr>
    </w:lvl>
    <w:lvl w:ilvl="3" w:tplc="883013E0">
      <w:start w:val="1"/>
      <w:numFmt w:val="bullet"/>
      <w:lvlText w:val="•"/>
      <w:lvlJc w:val="left"/>
      <w:pPr>
        <w:tabs>
          <w:tab w:val="num" w:pos="2520"/>
        </w:tabs>
        <w:ind w:left="2520" w:hanging="360"/>
      </w:pPr>
      <w:rPr>
        <w:rFonts w:ascii="Arial" w:hAnsi="Arial" w:cs="Times New Roman" w:hint="default"/>
      </w:rPr>
    </w:lvl>
    <w:lvl w:ilvl="4" w:tplc="E2AA3F72">
      <w:start w:val="1"/>
      <w:numFmt w:val="bullet"/>
      <w:lvlText w:val="•"/>
      <w:lvlJc w:val="left"/>
      <w:pPr>
        <w:tabs>
          <w:tab w:val="num" w:pos="3240"/>
        </w:tabs>
        <w:ind w:left="3240" w:hanging="360"/>
      </w:pPr>
      <w:rPr>
        <w:rFonts w:ascii="Arial" w:hAnsi="Arial" w:cs="Times New Roman" w:hint="default"/>
      </w:rPr>
    </w:lvl>
    <w:lvl w:ilvl="5" w:tplc="6D561B6C">
      <w:start w:val="1"/>
      <w:numFmt w:val="bullet"/>
      <w:lvlText w:val="•"/>
      <w:lvlJc w:val="left"/>
      <w:pPr>
        <w:tabs>
          <w:tab w:val="num" w:pos="3960"/>
        </w:tabs>
        <w:ind w:left="3960" w:hanging="360"/>
      </w:pPr>
      <w:rPr>
        <w:rFonts w:ascii="Arial" w:hAnsi="Arial" w:cs="Times New Roman" w:hint="default"/>
      </w:rPr>
    </w:lvl>
    <w:lvl w:ilvl="6" w:tplc="5C48A220">
      <w:start w:val="1"/>
      <w:numFmt w:val="bullet"/>
      <w:lvlText w:val="•"/>
      <w:lvlJc w:val="left"/>
      <w:pPr>
        <w:tabs>
          <w:tab w:val="num" w:pos="4680"/>
        </w:tabs>
        <w:ind w:left="4680" w:hanging="360"/>
      </w:pPr>
      <w:rPr>
        <w:rFonts w:ascii="Arial" w:hAnsi="Arial" w:cs="Times New Roman" w:hint="default"/>
      </w:rPr>
    </w:lvl>
    <w:lvl w:ilvl="7" w:tplc="32F406D4">
      <w:start w:val="1"/>
      <w:numFmt w:val="bullet"/>
      <w:lvlText w:val="•"/>
      <w:lvlJc w:val="left"/>
      <w:pPr>
        <w:tabs>
          <w:tab w:val="num" w:pos="5400"/>
        </w:tabs>
        <w:ind w:left="5400" w:hanging="360"/>
      </w:pPr>
      <w:rPr>
        <w:rFonts w:ascii="Arial" w:hAnsi="Arial" w:cs="Times New Roman" w:hint="default"/>
      </w:rPr>
    </w:lvl>
    <w:lvl w:ilvl="8" w:tplc="6C7E93CE">
      <w:start w:val="1"/>
      <w:numFmt w:val="bullet"/>
      <w:lvlText w:val="•"/>
      <w:lvlJc w:val="left"/>
      <w:pPr>
        <w:tabs>
          <w:tab w:val="num" w:pos="6120"/>
        </w:tabs>
        <w:ind w:left="6120" w:hanging="360"/>
      </w:pPr>
      <w:rPr>
        <w:rFonts w:ascii="Arial" w:hAnsi="Arial" w:cs="Times New Roman" w:hint="default"/>
      </w:rPr>
    </w:lvl>
  </w:abstractNum>
  <w:abstractNum w:abstractNumId="14" w15:restartNumberingAfterBreak="0">
    <w:nsid w:val="200D38B5"/>
    <w:multiLevelType w:val="hybridMultilevel"/>
    <w:tmpl w:val="6E48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C31DD0"/>
    <w:multiLevelType w:val="hybridMultilevel"/>
    <w:tmpl w:val="CE26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D58DF"/>
    <w:multiLevelType w:val="hybridMultilevel"/>
    <w:tmpl w:val="674E9890"/>
    <w:lvl w:ilvl="0" w:tplc="EA7C27C6">
      <w:start w:val="1"/>
      <w:numFmt w:val="bullet"/>
      <w:lvlText w:val="•"/>
      <w:lvlJc w:val="left"/>
      <w:pPr>
        <w:tabs>
          <w:tab w:val="num" w:pos="720"/>
        </w:tabs>
        <w:ind w:left="720" w:hanging="360"/>
      </w:pPr>
      <w:rPr>
        <w:rFonts w:ascii="Arial" w:hAnsi="Arial" w:cs="Times New Roman" w:hint="default"/>
      </w:rPr>
    </w:lvl>
    <w:lvl w:ilvl="1" w:tplc="45D678AC">
      <w:start w:val="1091"/>
      <w:numFmt w:val="bullet"/>
      <w:lvlText w:val="–"/>
      <w:lvlJc w:val="left"/>
      <w:pPr>
        <w:tabs>
          <w:tab w:val="num" w:pos="1440"/>
        </w:tabs>
        <w:ind w:left="1440" w:hanging="360"/>
      </w:pPr>
      <w:rPr>
        <w:rFonts w:ascii="Arial" w:hAnsi="Arial" w:cs="Times New Roman" w:hint="default"/>
      </w:rPr>
    </w:lvl>
    <w:lvl w:ilvl="2" w:tplc="C9204802">
      <w:start w:val="1"/>
      <w:numFmt w:val="bullet"/>
      <w:lvlText w:val="•"/>
      <w:lvlJc w:val="left"/>
      <w:pPr>
        <w:tabs>
          <w:tab w:val="num" w:pos="2160"/>
        </w:tabs>
        <w:ind w:left="2160" w:hanging="360"/>
      </w:pPr>
      <w:rPr>
        <w:rFonts w:ascii="Arial" w:hAnsi="Arial" w:cs="Times New Roman" w:hint="default"/>
      </w:rPr>
    </w:lvl>
    <w:lvl w:ilvl="3" w:tplc="FD5AF8F6">
      <w:start w:val="1"/>
      <w:numFmt w:val="bullet"/>
      <w:lvlText w:val="•"/>
      <w:lvlJc w:val="left"/>
      <w:pPr>
        <w:tabs>
          <w:tab w:val="num" w:pos="2880"/>
        </w:tabs>
        <w:ind w:left="2880" w:hanging="360"/>
      </w:pPr>
      <w:rPr>
        <w:rFonts w:ascii="Arial" w:hAnsi="Arial" w:cs="Times New Roman" w:hint="default"/>
      </w:rPr>
    </w:lvl>
    <w:lvl w:ilvl="4" w:tplc="B7BC574A">
      <w:start w:val="1"/>
      <w:numFmt w:val="bullet"/>
      <w:lvlText w:val="•"/>
      <w:lvlJc w:val="left"/>
      <w:pPr>
        <w:tabs>
          <w:tab w:val="num" w:pos="3600"/>
        </w:tabs>
        <w:ind w:left="3600" w:hanging="360"/>
      </w:pPr>
      <w:rPr>
        <w:rFonts w:ascii="Arial" w:hAnsi="Arial" w:cs="Times New Roman" w:hint="default"/>
      </w:rPr>
    </w:lvl>
    <w:lvl w:ilvl="5" w:tplc="294A3EA2">
      <w:start w:val="1"/>
      <w:numFmt w:val="bullet"/>
      <w:lvlText w:val="•"/>
      <w:lvlJc w:val="left"/>
      <w:pPr>
        <w:tabs>
          <w:tab w:val="num" w:pos="4320"/>
        </w:tabs>
        <w:ind w:left="4320" w:hanging="360"/>
      </w:pPr>
      <w:rPr>
        <w:rFonts w:ascii="Arial" w:hAnsi="Arial" w:cs="Times New Roman" w:hint="default"/>
      </w:rPr>
    </w:lvl>
    <w:lvl w:ilvl="6" w:tplc="1E7499B0">
      <w:start w:val="1"/>
      <w:numFmt w:val="bullet"/>
      <w:lvlText w:val="•"/>
      <w:lvlJc w:val="left"/>
      <w:pPr>
        <w:tabs>
          <w:tab w:val="num" w:pos="5040"/>
        </w:tabs>
        <w:ind w:left="5040" w:hanging="360"/>
      </w:pPr>
      <w:rPr>
        <w:rFonts w:ascii="Arial" w:hAnsi="Arial" w:cs="Times New Roman" w:hint="default"/>
      </w:rPr>
    </w:lvl>
    <w:lvl w:ilvl="7" w:tplc="6D8AD8EE">
      <w:start w:val="1"/>
      <w:numFmt w:val="bullet"/>
      <w:lvlText w:val="•"/>
      <w:lvlJc w:val="left"/>
      <w:pPr>
        <w:tabs>
          <w:tab w:val="num" w:pos="5760"/>
        </w:tabs>
        <w:ind w:left="5760" w:hanging="360"/>
      </w:pPr>
      <w:rPr>
        <w:rFonts w:ascii="Arial" w:hAnsi="Arial" w:cs="Times New Roman" w:hint="default"/>
      </w:rPr>
    </w:lvl>
    <w:lvl w:ilvl="8" w:tplc="A580ABE8">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2137D29"/>
    <w:multiLevelType w:val="hybridMultilevel"/>
    <w:tmpl w:val="E5DC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C93A2A"/>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5816CB8"/>
    <w:multiLevelType w:val="hybridMultilevel"/>
    <w:tmpl w:val="5C60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31385C"/>
    <w:multiLevelType w:val="hybridMultilevel"/>
    <w:tmpl w:val="A224B4FE"/>
    <w:lvl w:ilvl="0" w:tplc="61D6CADA">
      <w:start w:val="1"/>
      <w:numFmt w:val="bullet"/>
      <w:lvlText w:val="•"/>
      <w:lvlJc w:val="left"/>
      <w:pPr>
        <w:tabs>
          <w:tab w:val="num" w:pos="360"/>
        </w:tabs>
        <w:ind w:left="360" w:hanging="360"/>
      </w:pPr>
      <w:rPr>
        <w:rFonts w:ascii="Arial" w:hAnsi="Arial" w:cs="Times New Roman" w:hint="default"/>
      </w:rPr>
    </w:lvl>
    <w:lvl w:ilvl="1" w:tplc="CC06B652">
      <w:start w:val="1"/>
      <w:numFmt w:val="bullet"/>
      <w:lvlText w:val="•"/>
      <w:lvlJc w:val="left"/>
      <w:pPr>
        <w:tabs>
          <w:tab w:val="num" w:pos="1080"/>
        </w:tabs>
        <w:ind w:left="1080" w:hanging="360"/>
      </w:pPr>
      <w:rPr>
        <w:rFonts w:ascii="Arial" w:hAnsi="Arial" w:cs="Times New Roman" w:hint="default"/>
      </w:rPr>
    </w:lvl>
    <w:lvl w:ilvl="2" w:tplc="119C1294">
      <w:start w:val="1019"/>
      <w:numFmt w:val="bullet"/>
      <w:lvlText w:val="•"/>
      <w:lvlJc w:val="left"/>
      <w:pPr>
        <w:tabs>
          <w:tab w:val="num" w:pos="1800"/>
        </w:tabs>
        <w:ind w:left="1800" w:hanging="360"/>
      </w:pPr>
      <w:rPr>
        <w:rFonts w:ascii="Arial" w:hAnsi="Arial" w:cs="Times New Roman" w:hint="default"/>
      </w:rPr>
    </w:lvl>
    <w:lvl w:ilvl="3" w:tplc="15F25BF4">
      <w:start w:val="1"/>
      <w:numFmt w:val="bullet"/>
      <w:lvlText w:val="•"/>
      <w:lvlJc w:val="left"/>
      <w:pPr>
        <w:tabs>
          <w:tab w:val="num" w:pos="2520"/>
        </w:tabs>
        <w:ind w:left="2520" w:hanging="360"/>
      </w:pPr>
      <w:rPr>
        <w:rFonts w:ascii="Arial" w:hAnsi="Arial" w:cs="Times New Roman" w:hint="default"/>
      </w:rPr>
    </w:lvl>
    <w:lvl w:ilvl="4" w:tplc="09382AC2">
      <w:start w:val="1"/>
      <w:numFmt w:val="bullet"/>
      <w:lvlText w:val="•"/>
      <w:lvlJc w:val="left"/>
      <w:pPr>
        <w:tabs>
          <w:tab w:val="num" w:pos="3240"/>
        </w:tabs>
        <w:ind w:left="3240" w:hanging="360"/>
      </w:pPr>
      <w:rPr>
        <w:rFonts w:ascii="Arial" w:hAnsi="Arial" w:cs="Times New Roman" w:hint="default"/>
      </w:rPr>
    </w:lvl>
    <w:lvl w:ilvl="5" w:tplc="D4427344">
      <w:start w:val="1"/>
      <w:numFmt w:val="bullet"/>
      <w:lvlText w:val="•"/>
      <w:lvlJc w:val="left"/>
      <w:pPr>
        <w:tabs>
          <w:tab w:val="num" w:pos="3960"/>
        </w:tabs>
        <w:ind w:left="3960" w:hanging="360"/>
      </w:pPr>
      <w:rPr>
        <w:rFonts w:ascii="Arial" w:hAnsi="Arial" w:cs="Times New Roman" w:hint="default"/>
      </w:rPr>
    </w:lvl>
    <w:lvl w:ilvl="6" w:tplc="8A9AA74C">
      <w:start w:val="1"/>
      <w:numFmt w:val="bullet"/>
      <w:lvlText w:val="•"/>
      <w:lvlJc w:val="left"/>
      <w:pPr>
        <w:tabs>
          <w:tab w:val="num" w:pos="4680"/>
        </w:tabs>
        <w:ind w:left="4680" w:hanging="360"/>
      </w:pPr>
      <w:rPr>
        <w:rFonts w:ascii="Arial" w:hAnsi="Arial" w:cs="Times New Roman" w:hint="default"/>
      </w:rPr>
    </w:lvl>
    <w:lvl w:ilvl="7" w:tplc="93EC51B6">
      <w:start w:val="1"/>
      <w:numFmt w:val="bullet"/>
      <w:lvlText w:val="•"/>
      <w:lvlJc w:val="left"/>
      <w:pPr>
        <w:tabs>
          <w:tab w:val="num" w:pos="5400"/>
        </w:tabs>
        <w:ind w:left="5400" w:hanging="360"/>
      </w:pPr>
      <w:rPr>
        <w:rFonts w:ascii="Arial" w:hAnsi="Arial" w:cs="Times New Roman" w:hint="default"/>
      </w:rPr>
    </w:lvl>
    <w:lvl w:ilvl="8" w:tplc="1C647CA2">
      <w:start w:val="1"/>
      <w:numFmt w:val="bullet"/>
      <w:lvlText w:val="•"/>
      <w:lvlJc w:val="left"/>
      <w:pPr>
        <w:tabs>
          <w:tab w:val="num" w:pos="6120"/>
        </w:tabs>
        <w:ind w:left="6120" w:hanging="360"/>
      </w:pPr>
      <w:rPr>
        <w:rFonts w:ascii="Arial" w:hAnsi="Arial" w:cs="Times New Roman" w:hint="default"/>
      </w:rPr>
    </w:lvl>
  </w:abstractNum>
  <w:abstractNum w:abstractNumId="21" w15:restartNumberingAfterBreak="0">
    <w:nsid w:val="2B38328F"/>
    <w:multiLevelType w:val="hybridMultilevel"/>
    <w:tmpl w:val="A72EFA42"/>
    <w:lvl w:ilvl="0" w:tplc="EBD6155A">
      <w:start w:val="1"/>
      <w:numFmt w:val="decimal"/>
      <w:lvlText w:val="%1."/>
      <w:lvlJc w:val="left"/>
      <w:pPr>
        <w:ind w:left="720" w:hanging="360"/>
      </w:pPr>
      <w:rPr>
        <w:rFonts w:cs="Times New Roman"/>
      </w:rPr>
    </w:lvl>
    <w:lvl w:ilvl="1" w:tplc="803AACF8">
      <w:start w:val="1"/>
      <w:numFmt w:val="lowerLetter"/>
      <w:lvlText w:val="%2."/>
      <w:lvlJc w:val="left"/>
      <w:pPr>
        <w:ind w:left="1440" w:hanging="360"/>
      </w:pPr>
      <w:rPr>
        <w:rFonts w:cs="Times New Roman"/>
      </w:rPr>
    </w:lvl>
    <w:lvl w:ilvl="2" w:tplc="407C533A">
      <w:start w:val="1"/>
      <w:numFmt w:val="lowerRoman"/>
      <w:lvlText w:val="%3."/>
      <w:lvlJc w:val="right"/>
      <w:pPr>
        <w:ind w:left="2160" w:hanging="180"/>
      </w:pPr>
      <w:rPr>
        <w:rFonts w:cs="Times New Roman"/>
      </w:rPr>
    </w:lvl>
    <w:lvl w:ilvl="3" w:tplc="6596AD6E">
      <w:start w:val="1"/>
      <w:numFmt w:val="decimal"/>
      <w:lvlText w:val="%4."/>
      <w:lvlJc w:val="left"/>
      <w:pPr>
        <w:ind w:left="2880" w:hanging="360"/>
      </w:pPr>
      <w:rPr>
        <w:rFonts w:cs="Times New Roman"/>
      </w:rPr>
    </w:lvl>
    <w:lvl w:ilvl="4" w:tplc="EA961A58">
      <w:start w:val="1"/>
      <w:numFmt w:val="lowerLetter"/>
      <w:lvlText w:val="%5."/>
      <w:lvlJc w:val="left"/>
      <w:pPr>
        <w:ind w:left="3600" w:hanging="360"/>
      </w:pPr>
      <w:rPr>
        <w:rFonts w:cs="Times New Roman"/>
      </w:rPr>
    </w:lvl>
    <w:lvl w:ilvl="5" w:tplc="143A7180">
      <w:start w:val="1"/>
      <w:numFmt w:val="lowerRoman"/>
      <w:lvlText w:val="%6."/>
      <w:lvlJc w:val="right"/>
      <w:pPr>
        <w:ind w:left="4320" w:hanging="180"/>
      </w:pPr>
      <w:rPr>
        <w:rFonts w:cs="Times New Roman"/>
      </w:rPr>
    </w:lvl>
    <w:lvl w:ilvl="6" w:tplc="B4189904">
      <w:start w:val="1"/>
      <w:numFmt w:val="decimal"/>
      <w:lvlText w:val="%7."/>
      <w:lvlJc w:val="left"/>
      <w:pPr>
        <w:ind w:left="5040" w:hanging="360"/>
      </w:pPr>
      <w:rPr>
        <w:rFonts w:cs="Times New Roman"/>
      </w:rPr>
    </w:lvl>
    <w:lvl w:ilvl="7" w:tplc="BA4C9088">
      <w:start w:val="1"/>
      <w:numFmt w:val="lowerLetter"/>
      <w:lvlText w:val="%8."/>
      <w:lvlJc w:val="left"/>
      <w:pPr>
        <w:ind w:left="5760" w:hanging="360"/>
      </w:pPr>
      <w:rPr>
        <w:rFonts w:cs="Times New Roman"/>
      </w:rPr>
    </w:lvl>
    <w:lvl w:ilvl="8" w:tplc="37C4DA2A">
      <w:start w:val="1"/>
      <w:numFmt w:val="lowerRoman"/>
      <w:lvlText w:val="%9."/>
      <w:lvlJc w:val="right"/>
      <w:pPr>
        <w:ind w:left="6480" w:hanging="180"/>
      </w:pPr>
      <w:rPr>
        <w:rFonts w:cs="Times New Roman"/>
      </w:rPr>
    </w:lvl>
  </w:abstractNum>
  <w:abstractNum w:abstractNumId="22" w15:restartNumberingAfterBreak="0">
    <w:nsid w:val="2CB961BE"/>
    <w:multiLevelType w:val="multilevel"/>
    <w:tmpl w:val="0A00DF8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604962"/>
    <w:multiLevelType w:val="hybridMultilevel"/>
    <w:tmpl w:val="12E8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E80179"/>
    <w:multiLevelType w:val="hybridMultilevel"/>
    <w:tmpl w:val="3C9452C0"/>
    <w:lvl w:ilvl="0" w:tplc="040698FC">
      <w:start w:val="1"/>
      <w:numFmt w:val="bullet"/>
      <w:lvlText w:val="•"/>
      <w:lvlJc w:val="left"/>
      <w:pPr>
        <w:tabs>
          <w:tab w:val="num" w:pos="720"/>
        </w:tabs>
        <w:ind w:left="720" w:hanging="360"/>
      </w:pPr>
      <w:rPr>
        <w:rFonts w:ascii="Arial" w:hAnsi="Arial" w:cs="Times New Roman" w:hint="default"/>
      </w:rPr>
    </w:lvl>
    <w:lvl w:ilvl="1" w:tplc="A5ECBD7A">
      <w:start w:val="1"/>
      <w:numFmt w:val="bullet"/>
      <w:lvlText w:val="•"/>
      <w:lvlJc w:val="left"/>
      <w:pPr>
        <w:tabs>
          <w:tab w:val="num" w:pos="1440"/>
        </w:tabs>
        <w:ind w:left="1440" w:hanging="360"/>
      </w:pPr>
      <w:rPr>
        <w:rFonts w:ascii="Arial" w:hAnsi="Arial" w:cs="Times New Roman" w:hint="default"/>
      </w:rPr>
    </w:lvl>
    <w:lvl w:ilvl="2" w:tplc="9F7E4032">
      <w:start w:val="1"/>
      <w:numFmt w:val="bullet"/>
      <w:lvlText w:val="•"/>
      <w:lvlJc w:val="left"/>
      <w:pPr>
        <w:tabs>
          <w:tab w:val="num" w:pos="2160"/>
        </w:tabs>
        <w:ind w:left="2160" w:hanging="360"/>
      </w:pPr>
      <w:rPr>
        <w:rFonts w:ascii="Arial" w:hAnsi="Arial" w:cs="Times New Roman" w:hint="default"/>
      </w:rPr>
    </w:lvl>
    <w:lvl w:ilvl="3" w:tplc="1B82C70A">
      <w:start w:val="1"/>
      <w:numFmt w:val="bullet"/>
      <w:lvlText w:val="•"/>
      <w:lvlJc w:val="left"/>
      <w:pPr>
        <w:tabs>
          <w:tab w:val="num" w:pos="2880"/>
        </w:tabs>
        <w:ind w:left="2880" w:hanging="360"/>
      </w:pPr>
      <w:rPr>
        <w:rFonts w:ascii="Arial" w:hAnsi="Arial" w:cs="Times New Roman" w:hint="default"/>
      </w:rPr>
    </w:lvl>
    <w:lvl w:ilvl="4" w:tplc="54F00672">
      <w:start w:val="1"/>
      <w:numFmt w:val="bullet"/>
      <w:lvlText w:val="•"/>
      <w:lvlJc w:val="left"/>
      <w:pPr>
        <w:tabs>
          <w:tab w:val="num" w:pos="3600"/>
        </w:tabs>
        <w:ind w:left="3600" w:hanging="360"/>
      </w:pPr>
      <w:rPr>
        <w:rFonts w:ascii="Arial" w:hAnsi="Arial" w:cs="Times New Roman" w:hint="default"/>
      </w:rPr>
    </w:lvl>
    <w:lvl w:ilvl="5" w:tplc="99B64434">
      <w:start w:val="1"/>
      <w:numFmt w:val="bullet"/>
      <w:lvlText w:val="•"/>
      <w:lvlJc w:val="left"/>
      <w:pPr>
        <w:tabs>
          <w:tab w:val="num" w:pos="4320"/>
        </w:tabs>
        <w:ind w:left="4320" w:hanging="360"/>
      </w:pPr>
      <w:rPr>
        <w:rFonts w:ascii="Arial" w:hAnsi="Arial" w:cs="Times New Roman" w:hint="default"/>
      </w:rPr>
    </w:lvl>
    <w:lvl w:ilvl="6" w:tplc="F934D1E0">
      <w:start w:val="1"/>
      <w:numFmt w:val="bullet"/>
      <w:lvlText w:val="•"/>
      <w:lvlJc w:val="left"/>
      <w:pPr>
        <w:tabs>
          <w:tab w:val="num" w:pos="5040"/>
        </w:tabs>
        <w:ind w:left="5040" w:hanging="360"/>
      </w:pPr>
      <w:rPr>
        <w:rFonts w:ascii="Arial" w:hAnsi="Arial" w:cs="Times New Roman" w:hint="default"/>
      </w:rPr>
    </w:lvl>
    <w:lvl w:ilvl="7" w:tplc="27FE8AF8">
      <w:start w:val="1"/>
      <w:numFmt w:val="bullet"/>
      <w:lvlText w:val="•"/>
      <w:lvlJc w:val="left"/>
      <w:pPr>
        <w:tabs>
          <w:tab w:val="num" w:pos="5760"/>
        </w:tabs>
        <w:ind w:left="5760" w:hanging="360"/>
      </w:pPr>
      <w:rPr>
        <w:rFonts w:ascii="Arial" w:hAnsi="Arial" w:cs="Times New Roman" w:hint="default"/>
      </w:rPr>
    </w:lvl>
    <w:lvl w:ilvl="8" w:tplc="B9741112">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34961522"/>
    <w:multiLevelType w:val="hybridMultilevel"/>
    <w:tmpl w:val="52F0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82E18"/>
    <w:multiLevelType w:val="hybridMultilevel"/>
    <w:tmpl w:val="27206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792EF1"/>
    <w:multiLevelType w:val="hybridMultilevel"/>
    <w:tmpl w:val="0FBAD03C"/>
    <w:lvl w:ilvl="0" w:tplc="1F020D9E">
      <w:start w:val="1"/>
      <w:numFmt w:val="bullet"/>
      <w:lvlText w:val="•"/>
      <w:lvlJc w:val="left"/>
      <w:pPr>
        <w:tabs>
          <w:tab w:val="num" w:pos="360"/>
        </w:tabs>
        <w:ind w:left="360" w:hanging="360"/>
      </w:pPr>
      <w:rPr>
        <w:rFonts w:ascii="Arial" w:hAnsi="Arial" w:cs="Times New Roman" w:hint="default"/>
      </w:rPr>
    </w:lvl>
    <w:lvl w:ilvl="1" w:tplc="B1F0E0AA">
      <w:start w:val="842"/>
      <w:numFmt w:val="bullet"/>
      <w:lvlText w:val="–"/>
      <w:lvlJc w:val="left"/>
      <w:pPr>
        <w:tabs>
          <w:tab w:val="num" w:pos="1080"/>
        </w:tabs>
        <w:ind w:left="1080" w:hanging="360"/>
      </w:pPr>
      <w:rPr>
        <w:rFonts w:ascii="Arial" w:hAnsi="Arial" w:cs="Times New Roman" w:hint="default"/>
      </w:rPr>
    </w:lvl>
    <w:lvl w:ilvl="2" w:tplc="90A2383A">
      <w:start w:val="1"/>
      <w:numFmt w:val="bullet"/>
      <w:lvlText w:val="•"/>
      <w:lvlJc w:val="left"/>
      <w:pPr>
        <w:tabs>
          <w:tab w:val="num" w:pos="1800"/>
        </w:tabs>
        <w:ind w:left="1800" w:hanging="360"/>
      </w:pPr>
      <w:rPr>
        <w:rFonts w:ascii="Arial" w:hAnsi="Arial" w:cs="Times New Roman" w:hint="default"/>
      </w:rPr>
    </w:lvl>
    <w:lvl w:ilvl="3" w:tplc="81D8CF42">
      <w:start w:val="1"/>
      <w:numFmt w:val="bullet"/>
      <w:lvlText w:val="•"/>
      <w:lvlJc w:val="left"/>
      <w:pPr>
        <w:tabs>
          <w:tab w:val="num" w:pos="2520"/>
        </w:tabs>
        <w:ind w:left="2520" w:hanging="360"/>
      </w:pPr>
      <w:rPr>
        <w:rFonts w:ascii="Arial" w:hAnsi="Arial" w:cs="Times New Roman" w:hint="default"/>
      </w:rPr>
    </w:lvl>
    <w:lvl w:ilvl="4" w:tplc="ABEAA6D2">
      <w:start w:val="1"/>
      <w:numFmt w:val="bullet"/>
      <w:lvlText w:val="•"/>
      <w:lvlJc w:val="left"/>
      <w:pPr>
        <w:tabs>
          <w:tab w:val="num" w:pos="3240"/>
        </w:tabs>
        <w:ind w:left="3240" w:hanging="360"/>
      </w:pPr>
      <w:rPr>
        <w:rFonts w:ascii="Arial" w:hAnsi="Arial" w:cs="Times New Roman" w:hint="default"/>
      </w:rPr>
    </w:lvl>
    <w:lvl w:ilvl="5" w:tplc="69B4A006">
      <w:start w:val="1"/>
      <w:numFmt w:val="bullet"/>
      <w:lvlText w:val="•"/>
      <w:lvlJc w:val="left"/>
      <w:pPr>
        <w:tabs>
          <w:tab w:val="num" w:pos="3960"/>
        </w:tabs>
        <w:ind w:left="3960" w:hanging="360"/>
      </w:pPr>
      <w:rPr>
        <w:rFonts w:ascii="Arial" w:hAnsi="Arial" w:cs="Times New Roman" w:hint="default"/>
      </w:rPr>
    </w:lvl>
    <w:lvl w:ilvl="6" w:tplc="6F16FF12">
      <w:start w:val="1"/>
      <w:numFmt w:val="bullet"/>
      <w:lvlText w:val="•"/>
      <w:lvlJc w:val="left"/>
      <w:pPr>
        <w:tabs>
          <w:tab w:val="num" w:pos="4680"/>
        </w:tabs>
        <w:ind w:left="4680" w:hanging="360"/>
      </w:pPr>
      <w:rPr>
        <w:rFonts w:ascii="Arial" w:hAnsi="Arial" w:cs="Times New Roman" w:hint="default"/>
      </w:rPr>
    </w:lvl>
    <w:lvl w:ilvl="7" w:tplc="E38C23AA">
      <w:start w:val="1"/>
      <w:numFmt w:val="bullet"/>
      <w:lvlText w:val="•"/>
      <w:lvlJc w:val="left"/>
      <w:pPr>
        <w:tabs>
          <w:tab w:val="num" w:pos="5400"/>
        </w:tabs>
        <w:ind w:left="5400" w:hanging="360"/>
      </w:pPr>
      <w:rPr>
        <w:rFonts w:ascii="Arial" w:hAnsi="Arial" w:cs="Times New Roman" w:hint="default"/>
      </w:rPr>
    </w:lvl>
    <w:lvl w:ilvl="8" w:tplc="7E50535A">
      <w:start w:val="1"/>
      <w:numFmt w:val="bullet"/>
      <w:lvlText w:val="•"/>
      <w:lvlJc w:val="left"/>
      <w:pPr>
        <w:tabs>
          <w:tab w:val="num" w:pos="6120"/>
        </w:tabs>
        <w:ind w:left="6120" w:hanging="360"/>
      </w:pPr>
      <w:rPr>
        <w:rFonts w:ascii="Arial" w:hAnsi="Arial" w:cs="Times New Roman" w:hint="default"/>
      </w:rPr>
    </w:lvl>
  </w:abstractNum>
  <w:abstractNum w:abstractNumId="28" w15:restartNumberingAfterBreak="0">
    <w:nsid w:val="35972538"/>
    <w:multiLevelType w:val="hybridMultilevel"/>
    <w:tmpl w:val="F9D2856E"/>
    <w:lvl w:ilvl="0" w:tplc="31B8B254">
      <w:start w:val="1"/>
      <w:numFmt w:val="bullet"/>
      <w:lvlText w:val=""/>
      <w:lvlJc w:val="left"/>
      <w:pPr>
        <w:ind w:left="720" w:hanging="360"/>
      </w:pPr>
      <w:rPr>
        <w:rFonts w:ascii="Symbol" w:hAnsi="Symbol" w:hint="default"/>
      </w:rPr>
    </w:lvl>
    <w:lvl w:ilvl="1" w:tplc="DFF2CFAA">
      <w:start w:val="1"/>
      <w:numFmt w:val="bullet"/>
      <w:lvlText w:val="o"/>
      <w:lvlJc w:val="left"/>
      <w:pPr>
        <w:ind w:left="1440" w:hanging="360"/>
      </w:pPr>
      <w:rPr>
        <w:rFonts w:ascii="Courier New" w:hAnsi="Courier New" w:cs="Times New Roman" w:hint="default"/>
      </w:rPr>
    </w:lvl>
    <w:lvl w:ilvl="2" w:tplc="4D16CB34">
      <w:start w:val="1"/>
      <w:numFmt w:val="bullet"/>
      <w:lvlText w:val=""/>
      <w:lvlJc w:val="left"/>
      <w:pPr>
        <w:ind w:left="2160" w:hanging="360"/>
      </w:pPr>
      <w:rPr>
        <w:rFonts w:ascii="Wingdings" w:hAnsi="Wingdings" w:hint="default"/>
      </w:rPr>
    </w:lvl>
    <w:lvl w:ilvl="3" w:tplc="2F6A4868">
      <w:start w:val="1"/>
      <w:numFmt w:val="bullet"/>
      <w:lvlText w:val=""/>
      <w:lvlJc w:val="left"/>
      <w:pPr>
        <w:ind w:left="2880" w:hanging="360"/>
      </w:pPr>
      <w:rPr>
        <w:rFonts w:ascii="Symbol" w:hAnsi="Symbol" w:hint="default"/>
      </w:rPr>
    </w:lvl>
    <w:lvl w:ilvl="4" w:tplc="1F988BF0">
      <w:start w:val="1"/>
      <w:numFmt w:val="bullet"/>
      <w:lvlText w:val="o"/>
      <w:lvlJc w:val="left"/>
      <w:pPr>
        <w:ind w:left="3600" w:hanging="360"/>
      </w:pPr>
      <w:rPr>
        <w:rFonts w:ascii="Courier New" w:hAnsi="Courier New" w:cs="Times New Roman" w:hint="default"/>
      </w:rPr>
    </w:lvl>
    <w:lvl w:ilvl="5" w:tplc="1CE83D12">
      <w:start w:val="1"/>
      <w:numFmt w:val="bullet"/>
      <w:lvlText w:val=""/>
      <w:lvlJc w:val="left"/>
      <w:pPr>
        <w:ind w:left="4320" w:hanging="360"/>
      </w:pPr>
      <w:rPr>
        <w:rFonts w:ascii="Wingdings" w:hAnsi="Wingdings" w:hint="default"/>
      </w:rPr>
    </w:lvl>
    <w:lvl w:ilvl="6" w:tplc="6852A796">
      <w:start w:val="1"/>
      <w:numFmt w:val="bullet"/>
      <w:lvlText w:val=""/>
      <w:lvlJc w:val="left"/>
      <w:pPr>
        <w:ind w:left="5040" w:hanging="360"/>
      </w:pPr>
      <w:rPr>
        <w:rFonts w:ascii="Symbol" w:hAnsi="Symbol" w:hint="default"/>
      </w:rPr>
    </w:lvl>
    <w:lvl w:ilvl="7" w:tplc="D1E48FE8">
      <w:start w:val="1"/>
      <w:numFmt w:val="bullet"/>
      <w:lvlText w:val="o"/>
      <w:lvlJc w:val="left"/>
      <w:pPr>
        <w:ind w:left="5760" w:hanging="360"/>
      </w:pPr>
      <w:rPr>
        <w:rFonts w:ascii="Courier New" w:hAnsi="Courier New" w:cs="Times New Roman" w:hint="default"/>
      </w:rPr>
    </w:lvl>
    <w:lvl w:ilvl="8" w:tplc="2F2C05B6">
      <w:start w:val="1"/>
      <w:numFmt w:val="bullet"/>
      <w:lvlText w:val=""/>
      <w:lvlJc w:val="left"/>
      <w:pPr>
        <w:ind w:left="6480" w:hanging="360"/>
      </w:pPr>
      <w:rPr>
        <w:rFonts w:ascii="Wingdings" w:hAnsi="Wingdings" w:hint="default"/>
      </w:rPr>
    </w:lvl>
  </w:abstractNum>
  <w:abstractNum w:abstractNumId="29" w15:restartNumberingAfterBreak="0">
    <w:nsid w:val="3B090FE2"/>
    <w:multiLevelType w:val="hybridMultilevel"/>
    <w:tmpl w:val="F88A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250667"/>
    <w:multiLevelType w:val="hybridMultilevel"/>
    <w:tmpl w:val="8A52F9A0"/>
    <w:lvl w:ilvl="0" w:tplc="8190FB5A">
      <w:start w:val="1"/>
      <w:numFmt w:val="bullet"/>
      <w:lvlText w:val=""/>
      <w:lvlJc w:val="left"/>
      <w:pPr>
        <w:ind w:left="720" w:hanging="360"/>
      </w:pPr>
      <w:rPr>
        <w:rFonts w:ascii="Symbol" w:hAnsi="Symbol" w:hint="default"/>
      </w:rPr>
    </w:lvl>
    <w:lvl w:ilvl="1" w:tplc="6C56BE40">
      <w:start w:val="1"/>
      <w:numFmt w:val="bullet"/>
      <w:lvlText w:val="o"/>
      <w:lvlJc w:val="left"/>
      <w:pPr>
        <w:ind w:left="1440" w:hanging="360"/>
      </w:pPr>
      <w:rPr>
        <w:rFonts w:ascii="Courier New" w:hAnsi="Courier New" w:cs="Times New Roman" w:hint="default"/>
      </w:rPr>
    </w:lvl>
    <w:lvl w:ilvl="2" w:tplc="10FE67C6">
      <w:start w:val="1"/>
      <w:numFmt w:val="bullet"/>
      <w:lvlText w:val=""/>
      <w:lvlJc w:val="left"/>
      <w:pPr>
        <w:ind w:left="2160" w:hanging="360"/>
      </w:pPr>
      <w:rPr>
        <w:rFonts w:ascii="Wingdings" w:hAnsi="Wingdings" w:hint="default"/>
      </w:rPr>
    </w:lvl>
    <w:lvl w:ilvl="3" w:tplc="8AAED166">
      <w:start w:val="1"/>
      <w:numFmt w:val="bullet"/>
      <w:lvlText w:val=""/>
      <w:lvlJc w:val="left"/>
      <w:pPr>
        <w:ind w:left="2880" w:hanging="360"/>
      </w:pPr>
      <w:rPr>
        <w:rFonts w:ascii="Symbol" w:hAnsi="Symbol" w:hint="default"/>
      </w:rPr>
    </w:lvl>
    <w:lvl w:ilvl="4" w:tplc="D4A8E81A">
      <w:start w:val="1"/>
      <w:numFmt w:val="bullet"/>
      <w:lvlText w:val="o"/>
      <w:lvlJc w:val="left"/>
      <w:pPr>
        <w:ind w:left="3600" w:hanging="360"/>
      </w:pPr>
      <w:rPr>
        <w:rFonts w:ascii="Courier New" w:hAnsi="Courier New" w:cs="Times New Roman" w:hint="default"/>
      </w:rPr>
    </w:lvl>
    <w:lvl w:ilvl="5" w:tplc="D0BAFFE4">
      <w:start w:val="1"/>
      <w:numFmt w:val="bullet"/>
      <w:lvlText w:val=""/>
      <w:lvlJc w:val="left"/>
      <w:pPr>
        <w:ind w:left="4320" w:hanging="360"/>
      </w:pPr>
      <w:rPr>
        <w:rFonts w:ascii="Wingdings" w:hAnsi="Wingdings" w:hint="default"/>
      </w:rPr>
    </w:lvl>
    <w:lvl w:ilvl="6" w:tplc="5DF88C6A">
      <w:start w:val="1"/>
      <w:numFmt w:val="bullet"/>
      <w:lvlText w:val=""/>
      <w:lvlJc w:val="left"/>
      <w:pPr>
        <w:ind w:left="5040" w:hanging="360"/>
      </w:pPr>
      <w:rPr>
        <w:rFonts w:ascii="Symbol" w:hAnsi="Symbol" w:hint="default"/>
      </w:rPr>
    </w:lvl>
    <w:lvl w:ilvl="7" w:tplc="60CE4498">
      <w:start w:val="1"/>
      <w:numFmt w:val="bullet"/>
      <w:lvlText w:val="o"/>
      <w:lvlJc w:val="left"/>
      <w:pPr>
        <w:ind w:left="5760" w:hanging="360"/>
      </w:pPr>
      <w:rPr>
        <w:rFonts w:ascii="Courier New" w:hAnsi="Courier New" w:cs="Times New Roman" w:hint="default"/>
      </w:rPr>
    </w:lvl>
    <w:lvl w:ilvl="8" w:tplc="08888B38">
      <w:start w:val="1"/>
      <w:numFmt w:val="bullet"/>
      <w:lvlText w:val=""/>
      <w:lvlJc w:val="left"/>
      <w:pPr>
        <w:ind w:left="6480" w:hanging="360"/>
      </w:pPr>
      <w:rPr>
        <w:rFonts w:ascii="Wingdings" w:hAnsi="Wingdings" w:hint="default"/>
      </w:rPr>
    </w:lvl>
  </w:abstractNum>
  <w:abstractNum w:abstractNumId="31" w15:restartNumberingAfterBreak="0">
    <w:nsid w:val="3E2F5C32"/>
    <w:multiLevelType w:val="hybridMultilevel"/>
    <w:tmpl w:val="8D964E66"/>
    <w:lvl w:ilvl="0" w:tplc="87CE8884">
      <w:start w:val="1"/>
      <w:numFmt w:val="bullet"/>
      <w:lvlText w:val="•"/>
      <w:lvlJc w:val="left"/>
      <w:pPr>
        <w:tabs>
          <w:tab w:val="num" w:pos="720"/>
        </w:tabs>
        <w:ind w:left="720" w:hanging="360"/>
      </w:pPr>
      <w:rPr>
        <w:rFonts w:ascii="Arial" w:hAnsi="Arial" w:cs="Times New Roman" w:hint="default"/>
      </w:rPr>
    </w:lvl>
    <w:lvl w:ilvl="1" w:tplc="B0E25164">
      <w:start w:val="1"/>
      <w:numFmt w:val="bullet"/>
      <w:lvlText w:val="•"/>
      <w:lvlJc w:val="left"/>
      <w:pPr>
        <w:tabs>
          <w:tab w:val="num" w:pos="1440"/>
        </w:tabs>
        <w:ind w:left="1440" w:hanging="360"/>
      </w:pPr>
      <w:rPr>
        <w:rFonts w:ascii="Arial" w:hAnsi="Arial" w:cs="Times New Roman" w:hint="default"/>
      </w:rPr>
    </w:lvl>
    <w:lvl w:ilvl="2" w:tplc="F90CFEB6">
      <w:start w:val="1"/>
      <w:numFmt w:val="bullet"/>
      <w:lvlText w:val="•"/>
      <w:lvlJc w:val="left"/>
      <w:pPr>
        <w:tabs>
          <w:tab w:val="num" w:pos="2160"/>
        </w:tabs>
        <w:ind w:left="2160" w:hanging="360"/>
      </w:pPr>
      <w:rPr>
        <w:rFonts w:ascii="Arial" w:hAnsi="Arial" w:cs="Times New Roman" w:hint="default"/>
      </w:rPr>
    </w:lvl>
    <w:lvl w:ilvl="3" w:tplc="262E1D40">
      <w:start w:val="1"/>
      <w:numFmt w:val="bullet"/>
      <w:lvlText w:val="•"/>
      <w:lvlJc w:val="left"/>
      <w:pPr>
        <w:tabs>
          <w:tab w:val="num" w:pos="2880"/>
        </w:tabs>
        <w:ind w:left="2880" w:hanging="360"/>
      </w:pPr>
      <w:rPr>
        <w:rFonts w:ascii="Arial" w:hAnsi="Arial" w:cs="Times New Roman" w:hint="default"/>
      </w:rPr>
    </w:lvl>
    <w:lvl w:ilvl="4" w:tplc="8256C5DC">
      <w:start w:val="1"/>
      <w:numFmt w:val="bullet"/>
      <w:lvlText w:val="•"/>
      <w:lvlJc w:val="left"/>
      <w:pPr>
        <w:tabs>
          <w:tab w:val="num" w:pos="3600"/>
        </w:tabs>
        <w:ind w:left="3600" w:hanging="360"/>
      </w:pPr>
      <w:rPr>
        <w:rFonts w:ascii="Arial" w:hAnsi="Arial" w:cs="Times New Roman" w:hint="default"/>
      </w:rPr>
    </w:lvl>
    <w:lvl w:ilvl="5" w:tplc="1032B5EE">
      <w:start w:val="1"/>
      <w:numFmt w:val="bullet"/>
      <w:lvlText w:val="•"/>
      <w:lvlJc w:val="left"/>
      <w:pPr>
        <w:tabs>
          <w:tab w:val="num" w:pos="4320"/>
        </w:tabs>
        <w:ind w:left="4320" w:hanging="360"/>
      </w:pPr>
      <w:rPr>
        <w:rFonts w:ascii="Arial" w:hAnsi="Arial" w:cs="Times New Roman" w:hint="default"/>
      </w:rPr>
    </w:lvl>
    <w:lvl w:ilvl="6" w:tplc="16E017B0">
      <w:start w:val="1"/>
      <w:numFmt w:val="bullet"/>
      <w:lvlText w:val="•"/>
      <w:lvlJc w:val="left"/>
      <w:pPr>
        <w:tabs>
          <w:tab w:val="num" w:pos="5040"/>
        </w:tabs>
        <w:ind w:left="5040" w:hanging="360"/>
      </w:pPr>
      <w:rPr>
        <w:rFonts w:ascii="Arial" w:hAnsi="Arial" w:cs="Times New Roman" w:hint="default"/>
      </w:rPr>
    </w:lvl>
    <w:lvl w:ilvl="7" w:tplc="F8268A4E">
      <w:start w:val="1"/>
      <w:numFmt w:val="bullet"/>
      <w:lvlText w:val="•"/>
      <w:lvlJc w:val="left"/>
      <w:pPr>
        <w:tabs>
          <w:tab w:val="num" w:pos="5760"/>
        </w:tabs>
        <w:ind w:left="5760" w:hanging="360"/>
      </w:pPr>
      <w:rPr>
        <w:rFonts w:ascii="Arial" w:hAnsi="Arial" w:cs="Times New Roman" w:hint="default"/>
      </w:rPr>
    </w:lvl>
    <w:lvl w:ilvl="8" w:tplc="791C9C4A">
      <w:start w:val="1"/>
      <w:numFmt w:val="bullet"/>
      <w:lvlText w:val="•"/>
      <w:lvlJc w:val="left"/>
      <w:pPr>
        <w:tabs>
          <w:tab w:val="num" w:pos="6480"/>
        </w:tabs>
        <w:ind w:left="6480" w:hanging="360"/>
      </w:pPr>
      <w:rPr>
        <w:rFonts w:ascii="Arial" w:hAnsi="Arial" w:cs="Times New Roman" w:hint="default"/>
      </w:rPr>
    </w:lvl>
  </w:abstractNum>
  <w:abstractNum w:abstractNumId="32" w15:restartNumberingAfterBreak="0">
    <w:nsid w:val="40350207"/>
    <w:multiLevelType w:val="hybridMultilevel"/>
    <w:tmpl w:val="10921830"/>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33" w15:restartNumberingAfterBreak="0">
    <w:nsid w:val="40540543"/>
    <w:multiLevelType w:val="hybridMultilevel"/>
    <w:tmpl w:val="1AF6D0B0"/>
    <w:lvl w:ilvl="0" w:tplc="5080A5C4">
      <w:start w:val="1"/>
      <w:numFmt w:val="bullet"/>
      <w:lvlText w:val="•"/>
      <w:lvlJc w:val="left"/>
      <w:pPr>
        <w:tabs>
          <w:tab w:val="num" w:pos="360"/>
        </w:tabs>
        <w:ind w:left="360" w:hanging="360"/>
      </w:pPr>
      <w:rPr>
        <w:rFonts w:ascii="Arial" w:hAnsi="Arial" w:cs="Times New Roman" w:hint="default"/>
      </w:rPr>
    </w:lvl>
    <w:lvl w:ilvl="1" w:tplc="CBE804D6">
      <w:start w:val="1"/>
      <w:numFmt w:val="bullet"/>
      <w:lvlText w:val="•"/>
      <w:lvlJc w:val="left"/>
      <w:pPr>
        <w:tabs>
          <w:tab w:val="num" w:pos="1080"/>
        </w:tabs>
        <w:ind w:left="1080" w:hanging="360"/>
      </w:pPr>
      <w:rPr>
        <w:rFonts w:ascii="Arial" w:hAnsi="Arial" w:cs="Times New Roman" w:hint="default"/>
      </w:rPr>
    </w:lvl>
    <w:lvl w:ilvl="2" w:tplc="F7283BA4">
      <w:start w:val="1"/>
      <w:numFmt w:val="bullet"/>
      <w:lvlText w:val="•"/>
      <w:lvlJc w:val="left"/>
      <w:pPr>
        <w:tabs>
          <w:tab w:val="num" w:pos="1800"/>
        </w:tabs>
        <w:ind w:left="1800" w:hanging="360"/>
      </w:pPr>
      <w:rPr>
        <w:rFonts w:ascii="Arial" w:hAnsi="Arial" w:cs="Times New Roman" w:hint="default"/>
      </w:rPr>
    </w:lvl>
    <w:lvl w:ilvl="3" w:tplc="6A48A8E6">
      <w:start w:val="1"/>
      <w:numFmt w:val="bullet"/>
      <w:lvlText w:val="•"/>
      <w:lvlJc w:val="left"/>
      <w:pPr>
        <w:tabs>
          <w:tab w:val="num" w:pos="2520"/>
        </w:tabs>
        <w:ind w:left="2520" w:hanging="360"/>
      </w:pPr>
      <w:rPr>
        <w:rFonts w:ascii="Arial" w:hAnsi="Arial" w:cs="Times New Roman" w:hint="default"/>
      </w:rPr>
    </w:lvl>
    <w:lvl w:ilvl="4" w:tplc="0DD4C5E0">
      <w:start w:val="1"/>
      <w:numFmt w:val="bullet"/>
      <w:lvlText w:val="•"/>
      <w:lvlJc w:val="left"/>
      <w:pPr>
        <w:tabs>
          <w:tab w:val="num" w:pos="3240"/>
        </w:tabs>
        <w:ind w:left="3240" w:hanging="360"/>
      </w:pPr>
      <w:rPr>
        <w:rFonts w:ascii="Arial" w:hAnsi="Arial" w:cs="Times New Roman" w:hint="default"/>
      </w:rPr>
    </w:lvl>
    <w:lvl w:ilvl="5" w:tplc="AF2CDBD6">
      <w:start w:val="1"/>
      <w:numFmt w:val="bullet"/>
      <w:lvlText w:val="•"/>
      <w:lvlJc w:val="left"/>
      <w:pPr>
        <w:tabs>
          <w:tab w:val="num" w:pos="3960"/>
        </w:tabs>
        <w:ind w:left="3960" w:hanging="360"/>
      </w:pPr>
      <w:rPr>
        <w:rFonts w:ascii="Arial" w:hAnsi="Arial" w:cs="Times New Roman" w:hint="default"/>
      </w:rPr>
    </w:lvl>
    <w:lvl w:ilvl="6" w:tplc="5BAC3E52">
      <w:start w:val="1"/>
      <w:numFmt w:val="bullet"/>
      <w:lvlText w:val="•"/>
      <w:lvlJc w:val="left"/>
      <w:pPr>
        <w:tabs>
          <w:tab w:val="num" w:pos="4680"/>
        </w:tabs>
        <w:ind w:left="4680" w:hanging="360"/>
      </w:pPr>
      <w:rPr>
        <w:rFonts w:ascii="Arial" w:hAnsi="Arial" w:cs="Times New Roman" w:hint="default"/>
      </w:rPr>
    </w:lvl>
    <w:lvl w:ilvl="7" w:tplc="5A3C1412">
      <w:start w:val="1"/>
      <w:numFmt w:val="bullet"/>
      <w:lvlText w:val="•"/>
      <w:lvlJc w:val="left"/>
      <w:pPr>
        <w:tabs>
          <w:tab w:val="num" w:pos="5400"/>
        </w:tabs>
        <w:ind w:left="5400" w:hanging="360"/>
      </w:pPr>
      <w:rPr>
        <w:rFonts w:ascii="Arial" w:hAnsi="Arial" w:cs="Times New Roman" w:hint="default"/>
      </w:rPr>
    </w:lvl>
    <w:lvl w:ilvl="8" w:tplc="6E227E8A">
      <w:start w:val="1"/>
      <w:numFmt w:val="bullet"/>
      <w:lvlText w:val="•"/>
      <w:lvlJc w:val="left"/>
      <w:pPr>
        <w:tabs>
          <w:tab w:val="num" w:pos="6120"/>
        </w:tabs>
        <w:ind w:left="6120" w:hanging="360"/>
      </w:pPr>
      <w:rPr>
        <w:rFonts w:ascii="Arial" w:hAnsi="Arial" w:cs="Times New Roman" w:hint="default"/>
      </w:rPr>
    </w:lvl>
  </w:abstractNum>
  <w:abstractNum w:abstractNumId="34" w15:restartNumberingAfterBreak="0">
    <w:nsid w:val="42F14D5E"/>
    <w:multiLevelType w:val="hybridMultilevel"/>
    <w:tmpl w:val="89F4CFE0"/>
    <w:lvl w:ilvl="0" w:tplc="036822B0">
      <w:start w:val="1"/>
      <w:numFmt w:val="bullet"/>
      <w:lvlText w:val="•"/>
      <w:lvlJc w:val="left"/>
      <w:pPr>
        <w:tabs>
          <w:tab w:val="num" w:pos="720"/>
        </w:tabs>
        <w:ind w:left="720" w:hanging="360"/>
      </w:pPr>
      <w:rPr>
        <w:rFonts w:ascii="Arial" w:hAnsi="Arial" w:cs="Times New Roman" w:hint="default"/>
      </w:rPr>
    </w:lvl>
    <w:lvl w:ilvl="1" w:tplc="06705F0E">
      <w:start w:val="1091"/>
      <w:numFmt w:val="bullet"/>
      <w:lvlText w:val="–"/>
      <w:lvlJc w:val="left"/>
      <w:pPr>
        <w:tabs>
          <w:tab w:val="num" w:pos="1440"/>
        </w:tabs>
        <w:ind w:left="1440" w:hanging="360"/>
      </w:pPr>
      <w:rPr>
        <w:rFonts w:ascii="Arial" w:hAnsi="Arial" w:cs="Times New Roman" w:hint="default"/>
      </w:rPr>
    </w:lvl>
    <w:lvl w:ilvl="2" w:tplc="F9F2784C">
      <w:start w:val="1"/>
      <w:numFmt w:val="bullet"/>
      <w:lvlText w:val="•"/>
      <w:lvlJc w:val="left"/>
      <w:pPr>
        <w:tabs>
          <w:tab w:val="num" w:pos="2160"/>
        </w:tabs>
        <w:ind w:left="2160" w:hanging="360"/>
      </w:pPr>
      <w:rPr>
        <w:rFonts w:ascii="Arial" w:hAnsi="Arial" w:cs="Times New Roman" w:hint="default"/>
      </w:rPr>
    </w:lvl>
    <w:lvl w:ilvl="3" w:tplc="9378D042">
      <w:start w:val="1"/>
      <w:numFmt w:val="bullet"/>
      <w:lvlText w:val="•"/>
      <w:lvlJc w:val="left"/>
      <w:pPr>
        <w:tabs>
          <w:tab w:val="num" w:pos="2880"/>
        </w:tabs>
        <w:ind w:left="2880" w:hanging="360"/>
      </w:pPr>
      <w:rPr>
        <w:rFonts w:ascii="Arial" w:hAnsi="Arial" w:cs="Times New Roman" w:hint="default"/>
      </w:rPr>
    </w:lvl>
    <w:lvl w:ilvl="4" w:tplc="F586AC96">
      <w:start w:val="1"/>
      <w:numFmt w:val="bullet"/>
      <w:lvlText w:val="•"/>
      <w:lvlJc w:val="left"/>
      <w:pPr>
        <w:tabs>
          <w:tab w:val="num" w:pos="3600"/>
        </w:tabs>
        <w:ind w:left="3600" w:hanging="360"/>
      </w:pPr>
      <w:rPr>
        <w:rFonts w:ascii="Arial" w:hAnsi="Arial" w:cs="Times New Roman" w:hint="default"/>
      </w:rPr>
    </w:lvl>
    <w:lvl w:ilvl="5" w:tplc="8C5C2A32">
      <w:start w:val="1"/>
      <w:numFmt w:val="bullet"/>
      <w:lvlText w:val="•"/>
      <w:lvlJc w:val="left"/>
      <w:pPr>
        <w:tabs>
          <w:tab w:val="num" w:pos="4320"/>
        </w:tabs>
        <w:ind w:left="4320" w:hanging="360"/>
      </w:pPr>
      <w:rPr>
        <w:rFonts w:ascii="Arial" w:hAnsi="Arial" w:cs="Times New Roman" w:hint="default"/>
      </w:rPr>
    </w:lvl>
    <w:lvl w:ilvl="6" w:tplc="4A121D7A">
      <w:start w:val="1"/>
      <w:numFmt w:val="bullet"/>
      <w:lvlText w:val="•"/>
      <w:lvlJc w:val="left"/>
      <w:pPr>
        <w:tabs>
          <w:tab w:val="num" w:pos="5040"/>
        </w:tabs>
        <w:ind w:left="5040" w:hanging="360"/>
      </w:pPr>
      <w:rPr>
        <w:rFonts w:ascii="Arial" w:hAnsi="Arial" w:cs="Times New Roman" w:hint="default"/>
      </w:rPr>
    </w:lvl>
    <w:lvl w:ilvl="7" w:tplc="1A6CF0CE">
      <w:start w:val="1"/>
      <w:numFmt w:val="bullet"/>
      <w:lvlText w:val="•"/>
      <w:lvlJc w:val="left"/>
      <w:pPr>
        <w:tabs>
          <w:tab w:val="num" w:pos="5760"/>
        </w:tabs>
        <w:ind w:left="5760" w:hanging="360"/>
      </w:pPr>
      <w:rPr>
        <w:rFonts w:ascii="Arial" w:hAnsi="Arial" w:cs="Times New Roman" w:hint="default"/>
      </w:rPr>
    </w:lvl>
    <w:lvl w:ilvl="8" w:tplc="B1D0FEBE">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44134CFA"/>
    <w:multiLevelType w:val="hybridMultilevel"/>
    <w:tmpl w:val="D320177A"/>
    <w:lvl w:ilvl="0" w:tplc="48D2FEE4">
      <w:start w:val="1"/>
      <w:numFmt w:val="bullet"/>
      <w:lvlText w:val="•"/>
      <w:lvlJc w:val="left"/>
      <w:pPr>
        <w:tabs>
          <w:tab w:val="num" w:pos="360"/>
        </w:tabs>
        <w:ind w:left="360" w:hanging="360"/>
      </w:pPr>
      <w:rPr>
        <w:rFonts w:ascii="Arial" w:hAnsi="Arial" w:cs="Times New Roman" w:hint="default"/>
      </w:rPr>
    </w:lvl>
    <w:lvl w:ilvl="1" w:tplc="3F82C3F2">
      <w:start w:val="1"/>
      <w:numFmt w:val="bullet"/>
      <w:lvlText w:val="•"/>
      <w:lvlJc w:val="left"/>
      <w:pPr>
        <w:tabs>
          <w:tab w:val="num" w:pos="1080"/>
        </w:tabs>
        <w:ind w:left="1080" w:hanging="360"/>
      </w:pPr>
      <w:rPr>
        <w:rFonts w:ascii="Arial" w:hAnsi="Arial" w:cs="Times New Roman" w:hint="default"/>
      </w:rPr>
    </w:lvl>
    <w:lvl w:ilvl="2" w:tplc="C27241C4">
      <w:start w:val="1"/>
      <w:numFmt w:val="bullet"/>
      <w:lvlText w:val="•"/>
      <w:lvlJc w:val="left"/>
      <w:pPr>
        <w:tabs>
          <w:tab w:val="num" w:pos="1800"/>
        </w:tabs>
        <w:ind w:left="1800" w:hanging="360"/>
      </w:pPr>
      <w:rPr>
        <w:rFonts w:ascii="Arial" w:hAnsi="Arial" w:cs="Times New Roman" w:hint="default"/>
      </w:rPr>
    </w:lvl>
    <w:lvl w:ilvl="3" w:tplc="8FA43256">
      <w:start w:val="1"/>
      <w:numFmt w:val="bullet"/>
      <w:lvlText w:val="•"/>
      <w:lvlJc w:val="left"/>
      <w:pPr>
        <w:tabs>
          <w:tab w:val="num" w:pos="2520"/>
        </w:tabs>
        <w:ind w:left="2520" w:hanging="360"/>
      </w:pPr>
      <w:rPr>
        <w:rFonts w:ascii="Arial" w:hAnsi="Arial" w:cs="Times New Roman" w:hint="default"/>
      </w:rPr>
    </w:lvl>
    <w:lvl w:ilvl="4" w:tplc="601EB984">
      <w:start w:val="1"/>
      <w:numFmt w:val="bullet"/>
      <w:lvlText w:val="•"/>
      <w:lvlJc w:val="left"/>
      <w:pPr>
        <w:tabs>
          <w:tab w:val="num" w:pos="3240"/>
        </w:tabs>
        <w:ind w:left="3240" w:hanging="360"/>
      </w:pPr>
      <w:rPr>
        <w:rFonts w:ascii="Arial" w:hAnsi="Arial" w:cs="Times New Roman" w:hint="default"/>
      </w:rPr>
    </w:lvl>
    <w:lvl w:ilvl="5" w:tplc="ABEC19C4">
      <w:start w:val="1"/>
      <w:numFmt w:val="bullet"/>
      <w:lvlText w:val="•"/>
      <w:lvlJc w:val="left"/>
      <w:pPr>
        <w:tabs>
          <w:tab w:val="num" w:pos="3960"/>
        </w:tabs>
        <w:ind w:left="3960" w:hanging="360"/>
      </w:pPr>
      <w:rPr>
        <w:rFonts w:ascii="Arial" w:hAnsi="Arial" w:cs="Times New Roman" w:hint="default"/>
      </w:rPr>
    </w:lvl>
    <w:lvl w:ilvl="6" w:tplc="E794D4D0">
      <w:start w:val="1"/>
      <w:numFmt w:val="bullet"/>
      <w:lvlText w:val="•"/>
      <w:lvlJc w:val="left"/>
      <w:pPr>
        <w:tabs>
          <w:tab w:val="num" w:pos="4680"/>
        </w:tabs>
        <w:ind w:left="4680" w:hanging="360"/>
      </w:pPr>
      <w:rPr>
        <w:rFonts w:ascii="Arial" w:hAnsi="Arial" w:cs="Times New Roman" w:hint="default"/>
      </w:rPr>
    </w:lvl>
    <w:lvl w:ilvl="7" w:tplc="EB665DE2">
      <w:start w:val="1"/>
      <w:numFmt w:val="bullet"/>
      <w:lvlText w:val="•"/>
      <w:lvlJc w:val="left"/>
      <w:pPr>
        <w:tabs>
          <w:tab w:val="num" w:pos="5400"/>
        </w:tabs>
        <w:ind w:left="5400" w:hanging="360"/>
      </w:pPr>
      <w:rPr>
        <w:rFonts w:ascii="Arial" w:hAnsi="Arial" w:cs="Times New Roman" w:hint="default"/>
      </w:rPr>
    </w:lvl>
    <w:lvl w:ilvl="8" w:tplc="226049FE">
      <w:start w:val="1"/>
      <w:numFmt w:val="bullet"/>
      <w:lvlText w:val="•"/>
      <w:lvlJc w:val="left"/>
      <w:pPr>
        <w:tabs>
          <w:tab w:val="num" w:pos="6120"/>
        </w:tabs>
        <w:ind w:left="6120" w:hanging="360"/>
      </w:pPr>
      <w:rPr>
        <w:rFonts w:ascii="Arial" w:hAnsi="Arial" w:cs="Times New Roman" w:hint="default"/>
      </w:rPr>
    </w:lvl>
  </w:abstractNum>
  <w:abstractNum w:abstractNumId="36" w15:restartNumberingAfterBreak="0">
    <w:nsid w:val="45436682"/>
    <w:multiLevelType w:val="hybridMultilevel"/>
    <w:tmpl w:val="8E10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172110"/>
    <w:multiLevelType w:val="hybridMultilevel"/>
    <w:tmpl w:val="14DC9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E74C39"/>
    <w:multiLevelType w:val="hybridMultilevel"/>
    <w:tmpl w:val="C6B0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171E63"/>
    <w:multiLevelType w:val="hybridMultilevel"/>
    <w:tmpl w:val="041288FE"/>
    <w:lvl w:ilvl="0" w:tplc="DF8EF6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FC09BE"/>
    <w:multiLevelType w:val="hybridMultilevel"/>
    <w:tmpl w:val="F6A0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073031"/>
    <w:multiLevelType w:val="multilevel"/>
    <w:tmpl w:val="E7287422"/>
    <w:lvl w:ilvl="0">
      <w:start w:val="5"/>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526C4DB7"/>
    <w:multiLevelType w:val="hybridMultilevel"/>
    <w:tmpl w:val="5EC66B80"/>
    <w:lvl w:ilvl="0" w:tplc="26E20BE6">
      <w:start w:val="1"/>
      <w:numFmt w:val="bullet"/>
      <w:lvlText w:val="•"/>
      <w:lvlJc w:val="left"/>
      <w:pPr>
        <w:tabs>
          <w:tab w:val="num" w:pos="720"/>
        </w:tabs>
        <w:ind w:left="720" w:hanging="360"/>
      </w:pPr>
      <w:rPr>
        <w:rFonts w:ascii="Arial" w:hAnsi="Arial" w:cs="Times New Roman" w:hint="default"/>
      </w:rPr>
    </w:lvl>
    <w:lvl w:ilvl="1" w:tplc="C6DEC97E">
      <w:start w:val="1"/>
      <w:numFmt w:val="bullet"/>
      <w:lvlText w:val="•"/>
      <w:lvlJc w:val="left"/>
      <w:pPr>
        <w:tabs>
          <w:tab w:val="num" w:pos="1440"/>
        </w:tabs>
        <w:ind w:left="1440" w:hanging="360"/>
      </w:pPr>
      <w:rPr>
        <w:rFonts w:ascii="Arial" w:hAnsi="Arial" w:cs="Times New Roman" w:hint="default"/>
      </w:rPr>
    </w:lvl>
    <w:lvl w:ilvl="2" w:tplc="A0FEC77A">
      <w:start w:val="1"/>
      <w:numFmt w:val="bullet"/>
      <w:lvlText w:val="•"/>
      <w:lvlJc w:val="left"/>
      <w:pPr>
        <w:tabs>
          <w:tab w:val="num" w:pos="2160"/>
        </w:tabs>
        <w:ind w:left="2160" w:hanging="360"/>
      </w:pPr>
      <w:rPr>
        <w:rFonts w:ascii="Arial" w:hAnsi="Arial" w:cs="Times New Roman" w:hint="default"/>
      </w:rPr>
    </w:lvl>
    <w:lvl w:ilvl="3" w:tplc="0C4CFC6E">
      <w:start w:val="1"/>
      <w:numFmt w:val="bullet"/>
      <w:lvlText w:val="•"/>
      <w:lvlJc w:val="left"/>
      <w:pPr>
        <w:tabs>
          <w:tab w:val="num" w:pos="2880"/>
        </w:tabs>
        <w:ind w:left="2880" w:hanging="360"/>
      </w:pPr>
      <w:rPr>
        <w:rFonts w:ascii="Arial" w:hAnsi="Arial" w:cs="Times New Roman" w:hint="default"/>
      </w:rPr>
    </w:lvl>
    <w:lvl w:ilvl="4" w:tplc="ACAA706C">
      <w:start w:val="1"/>
      <w:numFmt w:val="bullet"/>
      <w:lvlText w:val="•"/>
      <w:lvlJc w:val="left"/>
      <w:pPr>
        <w:tabs>
          <w:tab w:val="num" w:pos="3600"/>
        </w:tabs>
        <w:ind w:left="3600" w:hanging="360"/>
      </w:pPr>
      <w:rPr>
        <w:rFonts w:ascii="Arial" w:hAnsi="Arial" w:cs="Times New Roman" w:hint="default"/>
      </w:rPr>
    </w:lvl>
    <w:lvl w:ilvl="5" w:tplc="81200D00">
      <w:start w:val="1"/>
      <w:numFmt w:val="bullet"/>
      <w:lvlText w:val="•"/>
      <w:lvlJc w:val="left"/>
      <w:pPr>
        <w:tabs>
          <w:tab w:val="num" w:pos="4320"/>
        </w:tabs>
        <w:ind w:left="4320" w:hanging="360"/>
      </w:pPr>
      <w:rPr>
        <w:rFonts w:ascii="Arial" w:hAnsi="Arial" w:cs="Times New Roman" w:hint="default"/>
      </w:rPr>
    </w:lvl>
    <w:lvl w:ilvl="6" w:tplc="0CFC720E">
      <w:start w:val="1"/>
      <w:numFmt w:val="bullet"/>
      <w:lvlText w:val="•"/>
      <w:lvlJc w:val="left"/>
      <w:pPr>
        <w:tabs>
          <w:tab w:val="num" w:pos="5040"/>
        </w:tabs>
        <w:ind w:left="5040" w:hanging="360"/>
      </w:pPr>
      <w:rPr>
        <w:rFonts w:ascii="Arial" w:hAnsi="Arial" w:cs="Times New Roman" w:hint="default"/>
      </w:rPr>
    </w:lvl>
    <w:lvl w:ilvl="7" w:tplc="12B276C4">
      <w:start w:val="1"/>
      <w:numFmt w:val="bullet"/>
      <w:lvlText w:val="•"/>
      <w:lvlJc w:val="left"/>
      <w:pPr>
        <w:tabs>
          <w:tab w:val="num" w:pos="5760"/>
        </w:tabs>
        <w:ind w:left="5760" w:hanging="360"/>
      </w:pPr>
      <w:rPr>
        <w:rFonts w:ascii="Arial" w:hAnsi="Arial" w:cs="Times New Roman" w:hint="default"/>
      </w:rPr>
    </w:lvl>
    <w:lvl w:ilvl="8" w:tplc="9C4EFF1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57202EDA"/>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580F70BB"/>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58742B08"/>
    <w:multiLevelType w:val="hybridMultilevel"/>
    <w:tmpl w:val="20DABAB8"/>
    <w:lvl w:ilvl="0" w:tplc="F99C652C">
      <w:start w:val="1"/>
      <w:numFmt w:val="bullet"/>
      <w:lvlText w:val=""/>
      <w:lvlJc w:val="left"/>
      <w:pPr>
        <w:ind w:left="720" w:hanging="360"/>
      </w:pPr>
      <w:rPr>
        <w:rFonts w:ascii="Symbol" w:hAnsi="Symbol" w:hint="default"/>
      </w:rPr>
    </w:lvl>
    <w:lvl w:ilvl="1" w:tplc="A1C699FA">
      <w:start w:val="1"/>
      <w:numFmt w:val="bullet"/>
      <w:lvlText w:val="o"/>
      <w:lvlJc w:val="left"/>
      <w:pPr>
        <w:ind w:left="1440" w:hanging="360"/>
      </w:pPr>
      <w:rPr>
        <w:rFonts w:ascii="Courier New" w:hAnsi="Courier New" w:cs="Times New Roman" w:hint="default"/>
      </w:rPr>
    </w:lvl>
    <w:lvl w:ilvl="2" w:tplc="847AC742">
      <w:start w:val="1"/>
      <w:numFmt w:val="bullet"/>
      <w:lvlText w:val=""/>
      <w:lvlJc w:val="left"/>
      <w:pPr>
        <w:ind w:left="2160" w:hanging="360"/>
      </w:pPr>
      <w:rPr>
        <w:rFonts w:ascii="Wingdings" w:hAnsi="Wingdings" w:hint="default"/>
      </w:rPr>
    </w:lvl>
    <w:lvl w:ilvl="3" w:tplc="E7820D26">
      <w:start w:val="1"/>
      <w:numFmt w:val="bullet"/>
      <w:lvlText w:val=""/>
      <w:lvlJc w:val="left"/>
      <w:pPr>
        <w:ind w:left="2880" w:hanging="360"/>
      </w:pPr>
      <w:rPr>
        <w:rFonts w:ascii="Symbol" w:hAnsi="Symbol" w:hint="default"/>
      </w:rPr>
    </w:lvl>
    <w:lvl w:ilvl="4" w:tplc="A746D15A">
      <w:start w:val="1"/>
      <w:numFmt w:val="bullet"/>
      <w:lvlText w:val="o"/>
      <w:lvlJc w:val="left"/>
      <w:pPr>
        <w:ind w:left="3600" w:hanging="360"/>
      </w:pPr>
      <w:rPr>
        <w:rFonts w:ascii="Courier New" w:hAnsi="Courier New" w:cs="Times New Roman" w:hint="default"/>
      </w:rPr>
    </w:lvl>
    <w:lvl w:ilvl="5" w:tplc="06E03F92">
      <w:start w:val="1"/>
      <w:numFmt w:val="bullet"/>
      <w:lvlText w:val=""/>
      <w:lvlJc w:val="left"/>
      <w:pPr>
        <w:ind w:left="4320" w:hanging="360"/>
      </w:pPr>
      <w:rPr>
        <w:rFonts w:ascii="Wingdings" w:hAnsi="Wingdings" w:hint="default"/>
      </w:rPr>
    </w:lvl>
    <w:lvl w:ilvl="6" w:tplc="403E12CE">
      <w:start w:val="1"/>
      <w:numFmt w:val="bullet"/>
      <w:lvlText w:val=""/>
      <w:lvlJc w:val="left"/>
      <w:pPr>
        <w:ind w:left="5040" w:hanging="360"/>
      </w:pPr>
      <w:rPr>
        <w:rFonts w:ascii="Symbol" w:hAnsi="Symbol" w:hint="default"/>
      </w:rPr>
    </w:lvl>
    <w:lvl w:ilvl="7" w:tplc="E49A8B70">
      <w:start w:val="1"/>
      <w:numFmt w:val="bullet"/>
      <w:lvlText w:val="o"/>
      <w:lvlJc w:val="left"/>
      <w:pPr>
        <w:ind w:left="5760" w:hanging="360"/>
      </w:pPr>
      <w:rPr>
        <w:rFonts w:ascii="Courier New" w:hAnsi="Courier New" w:cs="Times New Roman" w:hint="default"/>
      </w:rPr>
    </w:lvl>
    <w:lvl w:ilvl="8" w:tplc="B3A07B86">
      <w:start w:val="1"/>
      <w:numFmt w:val="bullet"/>
      <w:lvlText w:val=""/>
      <w:lvlJc w:val="left"/>
      <w:pPr>
        <w:ind w:left="6480" w:hanging="360"/>
      </w:pPr>
      <w:rPr>
        <w:rFonts w:ascii="Wingdings" w:hAnsi="Wingdings" w:hint="default"/>
      </w:rPr>
    </w:lvl>
  </w:abstractNum>
  <w:abstractNum w:abstractNumId="46" w15:restartNumberingAfterBreak="0">
    <w:nsid w:val="5C0F74DD"/>
    <w:multiLevelType w:val="hybridMultilevel"/>
    <w:tmpl w:val="27CA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562584"/>
    <w:multiLevelType w:val="hybridMultilevel"/>
    <w:tmpl w:val="760AF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5B468C"/>
    <w:multiLevelType w:val="hybridMultilevel"/>
    <w:tmpl w:val="859E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FD7DC6"/>
    <w:multiLevelType w:val="hybridMultilevel"/>
    <w:tmpl w:val="AF920B22"/>
    <w:lvl w:ilvl="0" w:tplc="591E2BEC">
      <w:start w:val="1"/>
      <w:numFmt w:val="bullet"/>
      <w:lvlText w:val="•"/>
      <w:lvlJc w:val="left"/>
      <w:pPr>
        <w:tabs>
          <w:tab w:val="num" w:pos="720"/>
        </w:tabs>
        <w:ind w:left="720" w:hanging="360"/>
      </w:pPr>
      <w:rPr>
        <w:rFonts w:ascii="Arial" w:hAnsi="Arial" w:cs="Times New Roman" w:hint="default"/>
      </w:rPr>
    </w:lvl>
    <w:lvl w:ilvl="1" w:tplc="483A6DE8">
      <w:start w:val="1"/>
      <w:numFmt w:val="bullet"/>
      <w:lvlText w:val="•"/>
      <w:lvlJc w:val="left"/>
      <w:pPr>
        <w:tabs>
          <w:tab w:val="num" w:pos="1440"/>
        </w:tabs>
        <w:ind w:left="1440" w:hanging="360"/>
      </w:pPr>
      <w:rPr>
        <w:rFonts w:ascii="Arial" w:hAnsi="Arial" w:cs="Times New Roman" w:hint="default"/>
      </w:rPr>
    </w:lvl>
    <w:lvl w:ilvl="2" w:tplc="EFF05F26">
      <w:start w:val="1"/>
      <w:numFmt w:val="bullet"/>
      <w:lvlText w:val="•"/>
      <w:lvlJc w:val="left"/>
      <w:pPr>
        <w:tabs>
          <w:tab w:val="num" w:pos="2160"/>
        </w:tabs>
        <w:ind w:left="2160" w:hanging="360"/>
      </w:pPr>
      <w:rPr>
        <w:rFonts w:ascii="Arial" w:hAnsi="Arial" w:cs="Times New Roman" w:hint="default"/>
      </w:rPr>
    </w:lvl>
    <w:lvl w:ilvl="3" w:tplc="AD10BEE6">
      <w:start w:val="1"/>
      <w:numFmt w:val="bullet"/>
      <w:lvlText w:val="•"/>
      <w:lvlJc w:val="left"/>
      <w:pPr>
        <w:tabs>
          <w:tab w:val="num" w:pos="2880"/>
        </w:tabs>
        <w:ind w:left="2880" w:hanging="360"/>
      </w:pPr>
      <w:rPr>
        <w:rFonts w:ascii="Arial" w:hAnsi="Arial" w:cs="Times New Roman" w:hint="default"/>
      </w:rPr>
    </w:lvl>
    <w:lvl w:ilvl="4" w:tplc="11429074">
      <w:start w:val="1"/>
      <w:numFmt w:val="bullet"/>
      <w:lvlText w:val="•"/>
      <w:lvlJc w:val="left"/>
      <w:pPr>
        <w:tabs>
          <w:tab w:val="num" w:pos="3600"/>
        </w:tabs>
        <w:ind w:left="3600" w:hanging="360"/>
      </w:pPr>
      <w:rPr>
        <w:rFonts w:ascii="Arial" w:hAnsi="Arial" w:cs="Times New Roman" w:hint="default"/>
      </w:rPr>
    </w:lvl>
    <w:lvl w:ilvl="5" w:tplc="6018E7DE">
      <w:start w:val="1"/>
      <w:numFmt w:val="bullet"/>
      <w:lvlText w:val="•"/>
      <w:lvlJc w:val="left"/>
      <w:pPr>
        <w:tabs>
          <w:tab w:val="num" w:pos="4320"/>
        </w:tabs>
        <w:ind w:left="4320" w:hanging="360"/>
      </w:pPr>
      <w:rPr>
        <w:rFonts w:ascii="Arial" w:hAnsi="Arial" w:cs="Times New Roman" w:hint="default"/>
      </w:rPr>
    </w:lvl>
    <w:lvl w:ilvl="6" w:tplc="CC30E0CA">
      <w:start w:val="1"/>
      <w:numFmt w:val="bullet"/>
      <w:lvlText w:val="•"/>
      <w:lvlJc w:val="left"/>
      <w:pPr>
        <w:tabs>
          <w:tab w:val="num" w:pos="5040"/>
        </w:tabs>
        <w:ind w:left="5040" w:hanging="360"/>
      </w:pPr>
      <w:rPr>
        <w:rFonts w:ascii="Arial" w:hAnsi="Arial" w:cs="Times New Roman" w:hint="default"/>
      </w:rPr>
    </w:lvl>
    <w:lvl w:ilvl="7" w:tplc="4FB0AA5C">
      <w:start w:val="1"/>
      <w:numFmt w:val="bullet"/>
      <w:lvlText w:val="•"/>
      <w:lvlJc w:val="left"/>
      <w:pPr>
        <w:tabs>
          <w:tab w:val="num" w:pos="5760"/>
        </w:tabs>
        <w:ind w:left="5760" w:hanging="360"/>
      </w:pPr>
      <w:rPr>
        <w:rFonts w:ascii="Arial" w:hAnsi="Arial" w:cs="Times New Roman" w:hint="default"/>
      </w:rPr>
    </w:lvl>
    <w:lvl w:ilvl="8" w:tplc="28A4A3B8">
      <w:start w:val="1"/>
      <w:numFmt w:val="bullet"/>
      <w:lvlText w:val="•"/>
      <w:lvlJc w:val="left"/>
      <w:pPr>
        <w:tabs>
          <w:tab w:val="num" w:pos="6480"/>
        </w:tabs>
        <w:ind w:left="6480" w:hanging="360"/>
      </w:pPr>
      <w:rPr>
        <w:rFonts w:ascii="Arial" w:hAnsi="Arial" w:cs="Times New Roman" w:hint="default"/>
      </w:rPr>
    </w:lvl>
  </w:abstractNum>
  <w:abstractNum w:abstractNumId="50" w15:restartNumberingAfterBreak="0">
    <w:nsid w:val="5E9307A5"/>
    <w:multiLevelType w:val="hybridMultilevel"/>
    <w:tmpl w:val="E4FEA8AE"/>
    <w:lvl w:ilvl="0" w:tplc="04090001">
      <w:start w:val="1"/>
      <w:numFmt w:val="bullet"/>
      <w:lvlText w:val=""/>
      <w:lvlJc w:val="left"/>
      <w:pPr>
        <w:ind w:left="720" w:hanging="360"/>
      </w:pPr>
      <w:rPr>
        <w:rFonts w:ascii="Symbol" w:hAnsi="Symbol" w:hint="default"/>
      </w:rPr>
    </w:lvl>
    <w:lvl w:ilvl="1" w:tplc="954C06CA">
      <w:numFmt w:val="bullet"/>
      <w:lvlText w:val="-"/>
      <w:lvlJc w:val="left"/>
      <w:pPr>
        <w:ind w:left="1440" w:hanging="360"/>
      </w:pPr>
      <w:rPr>
        <w:rFonts w:ascii="Cambria" w:eastAsiaTheme="minorHAns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2F021E"/>
    <w:multiLevelType w:val="hybridMultilevel"/>
    <w:tmpl w:val="EB4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6E14F2"/>
    <w:multiLevelType w:val="hybridMultilevel"/>
    <w:tmpl w:val="7BE44400"/>
    <w:lvl w:ilvl="0" w:tplc="717E5556">
      <w:start w:val="1"/>
      <w:numFmt w:val="bullet"/>
      <w:lvlText w:val="•"/>
      <w:lvlJc w:val="left"/>
      <w:pPr>
        <w:tabs>
          <w:tab w:val="num" w:pos="360"/>
        </w:tabs>
        <w:ind w:left="360" w:hanging="360"/>
      </w:pPr>
      <w:rPr>
        <w:rFonts w:ascii="Arial" w:hAnsi="Arial" w:cs="Times New Roman" w:hint="default"/>
      </w:rPr>
    </w:lvl>
    <w:lvl w:ilvl="1" w:tplc="36501758">
      <w:start w:val="1"/>
      <w:numFmt w:val="bullet"/>
      <w:lvlText w:val="•"/>
      <w:lvlJc w:val="left"/>
      <w:pPr>
        <w:tabs>
          <w:tab w:val="num" w:pos="1080"/>
        </w:tabs>
        <w:ind w:left="1080" w:hanging="360"/>
      </w:pPr>
      <w:rPr>
        <w:rFonts w:ascii="Arial" w:hAnsi="Arial" w:cs="Times New Roman" w:hint="default"/>
      </w:rPr>
    </w:lvl>
    <w:lvl w:ilvl="2" w:tplc="0794FB32">
      <w:start w:val="1"/>
      <w:numFmt w:val="bullet"/>
      <w:lvlText w:val="•"/>
      <w:lvlJc w:val="left"/>
      <w:pPr>
        <w:tabs>
          <w:tab w:val="num" w:pos="1800"/>
        </w:tabs>
        <w:ind w:left="1800" w:hanging="360"/>
      </w:pPr>
      <w:rPr>
        <w:rFonts w:ascii="Arial" w:hAnsi="Arial" w:cs="Times New Roman" w:hint="default"/>
      </w:rPr>
    </w:lvl>
    <w:lvl w:ilvl="3" w:tplc="5E38F828">
      <w:start w:val="1"/>
      <w:numFmt w:val="bullet"/>
      <w:lvlText w:val="•"/>
      <w:lvlJc w:val="left"/>
      <w:pPr>
        <w:tabs>
          <w:tab w:val="num" w:pos="2520"/>
        </w:tabs>
        <w:ind w:left="2520" w:hanging="360"/>
      </w:pPr>
      <w:rPr>
        <w:rFonts w:ascii="Arial" w:hAnsi="Arial" w:cs="Times New Roman" w:hint="default"/>
      </w:rPr>
    </w:lvl>
    <w:lvl w:ilvl="4" w:tplc="D47AF44A">
      <w:start w:val="1"/>
      <w:numFmt w:val="bullet"/>
      <w:lvlText w:val="•"/>
      <w:lvlJc w:val="left"/>
      <w:pPr>
        <w:tabs>
          <w:tab w:val="num" w:pos="3240"/>
        </w:tabs>
        <w:ind w:left="3240" w:hanging="360"/>
      </w:pPr>
      <w:rPr>
        <w:rFonts w:ascii="Arial" w:hAnsi="Arial" w:cs="Times New Roman" w:hint="default"/>
      </w:rPr>
    </w:lvl>
    <w:lvl w:ilvl="5" w:tplc="431869A2">
      <w:start w:val="1"/>
      <w:numFmt w:val="bullet"/>
      <w:lvlText w:val="•"/>
      <w:lvlJc w:val="left"/>
      <w:pPr>
        <w:tabs>
          <w:tab w:val="num" w:pos="3960"/>
        </w:tabs>
        <w:ind w:left="3960" w:hanging="360"/>
      </w:pPr>
      <w:rPr>
        <w:rFonts w:ascii="Arial" w:hAnsi="Arial" w:cs="Times New Roman" w:hint="default"/>
      </w:rPr>
    </w:lvl>
    <w:lvl w:ilvl="6" w:tplc="EED4D08E">
      <w:start w:val="1"/>
      <w:numFmt w:val="bullet"/>
      <w:lvlText w:val="•"/>
      <w:lvlJc w:val="left"/>
      <w:pPr>
        <w:tabs>
          <w:tab w:val="num" w:pos="4680"/>
        </w:tabs>
        <w:ind w:left="4680" w:hanging="360"/>
      </w:pPr>
      <w:rPr>
        <w:rFonts w:ascii="Arial" w:hAnsi="Arial" w:cs="Times New Roman" w:hint="default"/>
      </w:rPr>
    </w:lvl>
    <w:lvl w:ilvl="7" w:tplc="712E909E">
      <w:start w:val="1"/>
      <w:numFmt w:val="bullet"/>
      <w:lvlText w:val="•"/>
      <w:lvlJc w:val="left"/>
      <w:pPr>
        <w:tabs>
          <w:tab w:val="num" w:pos="5400"/>
        </w:tabs>
        <w:ind w:left="5400" w:hanging="360"/>
      </w:pPr>
      <w:rPr>
        <w:rFonts w:ascii="Arial" w:hAnsi="Arial" w:cs="Times New Roman" w:hint="default"/>
      </w:rPr>
    </w:lvl>
    <w:lvl w:ilvl="8" w:tplc="7CC036DE">
      <w:start w:val="1"/>
      <w:numFmt w:val="bullet"/>
      <w:lvlText w:val="•"/>
      <w:lvlJc w:val="left"/>
      <w:pPr>
        <w:tabs>
          <w:tab w:val="num" w:pos="6120"/>
        </w:tabs>
        <w:ind w:left="6120" w:hanging="360"/>
      </w:pPr>
      <w:rPr>
        <w:rFonts w:ascii="Arial" w:hAnsi="Arial" w:cs="Times New Roman" w:hint="default"/>
      </w:rPr>
    </w:lvl>
  </w:abstractNum>
  <w:abstractNum w:abstractNumId="53" w15:restartNumberingAfterBreak="0">
    <w:nsid w:val="61AC3F2E"/>
    <w:multiLevelType w:val="multilevel"/>
    <w:tmpl w:val="0680B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EE4D3B"/>
    <w:multiLevelType w:val="hybridMultilevel"/>
    <w:tmpl w:val="B6627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746497"/>
    <w:multiLevelType w:val="hybridMultilevel"/>
    <w:tmpl w:val="A36CDD1E"/>
    <w:lvl w:ilvl="0" w:tplc="488CAF18">
      <w:start w:val="1"/>
      <w:numFmt w:val="bullet"/>
      <w:lvlText w:val="•"/>
      <w:lvlJc w:val="left"/>
      <w:pPr>
        <w:tabs>
          <w:tab w:val="num" w:pos="360"/>
        </w:tabs>
        <w:ind w:left="360" w:hanging="360"/>
      </w:pPr>
      <w:rPr>
        <w:rFonts w:ascii="Arial" w:hAnsi="Arial" w:cs="Times New Roman" w:hint="default"/>
      </w:rPr>
    </w:lvl>
    <w:lvl w:ilvl="1" w:tplc="9E1AF72C">
      <w:start w:val="1"/>
      <w:numFmt w:val="bullet"/>
      <w:lvlText w:val="•"/>
      <w:lvlJc w:val="left"/>
      <w:pPr>
        <w:tabs>
          <w:tab w:val="num" w:pos="1080"/>
        </w:tabs>
        <w:ind w:left="1080" w:hanging="360"/>
      </w:pPr>
      <w:rPr>
        <w:rFonts w:ascii="Arial" w:hAnsi="Arial" w:cs="Times New Roman" w:hint="default"/>
      </w:rPr>
    </w:lvl>
    <w:lvl w:ilvl="2" w:tplc="0A80191A">
      <w:start w:val="1"/>
      <w:numFmt w:val="bullet"/>
      <w:lvlText w:val="•"/>
      <w:lvlJc w:val="left"/>
      <w:pPr>
        <w:tabs>
          <w:tab w:val="num" w:pos="1800"/>
        </w:tabs>
        <w:ind w:left="1800" w:hanging="360"/>
      </w:pPr>
      <w:rPr>
        <w:rFonts w:ascii="Arial" w:hAnsi="Arial" w:cs="Times New Roman" w:hint="default"/>
      </w:rPr>
    </w:lvl>
    <w:lvl w:ilvl="3" w:tplc="4A365FF0">
      <w:start w:val="1"/>
      <w:numFmt w:val="bullet"/>
      <w:lvlText w:val="•"/>
      <w:lvlJc w:val="left"/>
      <w:pPr>
        <w:tabs>
          <w:tab w:val="num" w:pos="2520"/>
        </w:tabs>
        <w:ind w:left="2520" w:hanging="360"/>
      </w:pPr>
      <w:rPr>
        <w:rFonts w:ascii="Arial" w:hAnsi="Arial" w:cs="Times New Roman" w:hint="default"/>
      </w:rPr>
    </w:lvl>
    <w:lvl w:ilvl="4" w:tplc="FDA674BC">
      <w:start w:val="1"/>
      <w:numFmt w:val="bullet"/>
      <w:lvlText w:val="•"/>
      <w:lvlJc w:val="left"/>
      <w:pPr>
        <w:tabs>
          <w:tab w:val="num" w:pos="3240"/>
        </w:tabs>
        <w:ind w:left="3240" w:hanging="360"/>
      </w:pPr>
      <w:rPr>
        <w:rFonts w:ascii="Arial" w:hAnsi="Arial" w:cs="Times New Roman" w:hint="default"/>
      </w:rPr>
    </w:lvl>
    <w:lvl w:ilvl="5" w:tplc="E9923988">
      <w:start w:val="1"/>
      <w:numFmt w:val="bullet"/>
      <w:lvlText w:val="•"/>
      <w:lvlJc w:val="left"/>
      <w:pPr>
        <w:tabs>
          <w:tab w:val="num" w:pos="3960"/>
        </w:tabs>
        <w:ind w:left="3960" w:hanging="360"/>
      </w:pPr>
      <w:rPr>
        <w:rFonts w:ascii="Arial" w:hAnsi="Arial" w:cs="Times New Roman" w:hint="default"/>
      </w:rPr>
    </w:lvl>
    <w:lvl w:ilvl="6" w:tplc="869E012E">
      <w:start w:val="1"/>
      <w:numFmt w:val="bullet"/>
      <w:lvlText w:val="•"/>
      <w:lvlJc w:val="left"/>
      <w:pPr>
        <w:tabs>
          <w:tab w:val="num" w:pos="4680"/>
        </w:tabs>
        <w:ind w:left="4680" w:hanging="360"/>
      </w:pPr>
      <w:rPr>
        <w:rFonts w:ascii="Arial" w:hAnsi="Arial" w:cs="Times New Roman" w:hint="default"/>
      </w:rPr>
    </w:lvl>
    <w:lvl w:ilvl="7" w:tplc="A9780B20">
      <w:start w:val="1"/>
      <w:numFmt w:val="bullet"/>
      <w:lvlText w:val="•"/>
      <w:lvlJc w:val="left"/>
      <w:pPr>
        <w:tabs>
          <w:tab w:val="num" w:pos="5400"/>
        </w:tabs>
        <w:ind w:left="5400" w:hanging="360"/>
      </w:pPr>
      <w:rPr>
        <w:rFonts w:ascii="Arial" w:hAnsi="Arial" w:cs="Times New Roman" w:hint="default"/>
      </w:rPr>
    </w:lvl>
    <w:lvl w:ilvl="8" w:tplc="3F7010DE">
      <w:start w:val="1"/>
      <w:numFmt w:val="bullet"/>
      <w:lvlText w:val="•"/>
      <w:lvlJc w:val="left"/>
      <w:pPr>
        <w:tabs>
          <w:tab w:val="num" w:pos="6120"/>
        </w:tabs>
        <w:ind w:left="6120" w:hanging="360"/>
      </w:pPr>
      <w:rPr>
        <w:rFonts w:ascii="Arial" w:hAnsi="Arial" w:cs="Times New Roman" w:hint="default"/>
      </w:rPr>
    </w:lvl>
  </w:abstractNum>
  <w:abstractNum w:abstractNumId="56" w15:restartNumberingAfterBreak="0">
    <w:nsid w:val="72172C5C"/>
    <w:multiLevelType w:val="hybridMultilevel"/>
    <w:tmpl w:val="0772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335E7D"/>
    <w:multiLevelType w:val="multilevel"/>
    <w:tmpl w:val="5A189FE0"/>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550171"/>
    <w:multiLevelType w:val="multilevel"/>
    <w:tmpl w:val="BA6C7166"/>
    <w:lvl w:ilvl="0">
      <w:start w:val="1"/>
      <w:numFmt w:val="decimal"/>
      <w:pStyle w:val="Heading1"/>
      <w:suff w:val="space"/>
      <w:lvlText w:val="Chapter %1"/>
      <w:lvlJc w:val="left"/>
      <w:pPr>
        <w:ind w:left="2340" w:firstLine="0"/>
      </w:pPr>
      <w:rPr>
        <w:color w:val="auto"/>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9" w15:restartNumberingAfterBreak="0">
    <w:nsid w:val="760310DF"/>
    <w:multiLevelType w:val="hybridMultilevel"/>
    <w:tmpl w:val="B1ACAC4C"/>
    <w:lvl w:ilvl="0" w:tplc="8D0EE9E0">
      <w:start w:val="1"/>
      <w:numFmt w:val="decimal"/>
      <w:lvlText w:val="%1."/>
      <w:lvlJc w:val="left"/>
      <w:pPr>
        <w:ind w:left="720" w:hanging="360"/>
      </w:pPr>
      <w:rPr>
        <w:rFonts w:cs="Times New Roman"/>
      </w:rPr>
    </w:lvl>
    <w:lvl w:ilvl="1" w:tplc="E0EE856E">
      <w:start w:val="1"/>
      <w:numFmt w:val="lowerLetter"/>
      <w:lvlText w:val="%2."/>
      <w:lvlJc w:val="left"/>
      <w:pPr>
        <w:ind w:left="1440" w:hanging="360"/>
      </w:pPr>
      <w:rPr>
        <w:rFonts w:cs="Times New Roman"/>
      </w:rPr>
    </w:lvl>
    <w:lvl w:ilvl="2" w:tplc="3CC85434">
      <w:start w:val="1"/>
      <w:numFmt w:val="lowerRoman"/>
      <w:lvlText w:val="%3."/>
      <w:lvlJc w:val="right"/>
      <w:pPr>
        <w:ind w:left="2160" w:hanging="180"/>
      </w:pPr>
      <w:rPr>
        <w:rFonts w:cs="Times New Roman"/>
      </w:rPr>
    </w:lvl>
    <w:lvl w:ilvl="3" w:tplc="CDA85D3A">
      <w:start w:val="1"/>
      <w:numFmt w:val="decimal"/>
      <w:lvlText w:val="%4."/>
      <w:lvlJc w:val="left"/>
      <w:pPr>
        <w:ind w:left="2880" w:hanging="360"/>
      </w:pPr>
      <w:rPr>
        <w:rFonts w:cs="Times New Roman"/>
      </w:rPr>
    </w:lvl>
    <w:lvl w:ilvl="4" w:tplc="FB106100">
      <w:start w:val="1"/>
      <w:numFmt w:val="lowerLetter"/>
      <w:lvlText w:val="%5."/>
      <w:lvlJc w:val="left"/>
      <w:pPr>
        <w:ind w:left="3600" w:hanging="360"/>
      </w:pPr>
      <w:rPr>
        <w:rFonts w:cs="Times New Roman"/>
      </w:rPr>
    </w:lvl>
    <w:lvl w:ilvl="5" w:tplc="DA50CA78">
      <w:start w:val="1"/>
      <w:numFmt w:val="lowerRoman"/>
      <w:lvlText w:val="%6."/>
      <w:lvlJc w:val="right"/>
      <w:pPr>
        <w:ind w:left="4320" w:hanging="180"/>
      </w:pPr>
      <w:rPr>
        <w:rFonts w:cs="Times New Roman"/>
      </w:rPr>
    </w:lvl>
    <w:lvl w:ilvl="6" w:tplc="F080EE50">
      <w:start w:val="1"/>
      <w:numFmt w:val="decimal"/>
      <w:lvlText w:val="%7."/>
      <w:lvlJc w:val="left"/>
      <w:pPr>
        <w:ind w:left="5040" w:hanging="360"/>
      </w:pPr>
      <w:rPr>
        <w:rFonts w:cs="Times New Roman"/>
      </w:rPr>
    </w:lvl>
    <w:lvl w:ilvl="7" w:tplc="F5986ADC">
      <w:start w:val="1"/>
      <w:numFmt w:val="lowerLetter"/>
      <w:lvlText w:val="%8."/>
      <w:lvlJc w:val="left"/>
      <w:pPr>
        <w:ind w:left="5760" w:hanging="360"/>
      </w:pPr>
      <w:rPr>
        <w:rFonts w:cs="Times New Roman"/>
      </w:rPr>
    </w:lvl>
    <w:lvl w:ilvl="8" w:tplc="EA44DFB4">
      <w:start w:val="1"/>
      <w:numFmt w:val="lowerRoman"/>
      <w:lvlText w:val="%9."/>
      <w:lvlJc w:val="right"/>
      <w:pPr>
        <w:ind w:left="6480" w:hanging="180"/>
      </w:pPr>
      <w:rPr>
        <w:rFonts w:cs="Times New Roman"/>
      </w:rPr>
    </w:lvl>
  </w:abstractNum>
  <w:abstractNum w:abstractNumId="60" w15:restartNumberingAfterBreak="0">
    <w:nsid w:val="78582D15"/>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1" w15:restartNumberingAfterBreak="0">
    <w:nsid w:val="799C22AB"/>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2"/>
  </w:num>
  <w:num w:numId="2">
    <w:abstractNumId w:val="58"/>
  </w:num>
  <w:num w:numId="3">
    <w:abstractNumId w:val="54"/>
  </w:num>
  <w:num w:numId="4">
    <w:abstractNumId w:val="61"/>
  </w:num>
  <w:num w:numId="5">
    <w:abstractNumId w:val="18"/>
  </w:num>
  <w:num w:numId="6">
    <w:abstractNumId w:val="44"/>
  </w:num>
  <w:num w:numId="7">
    <w:abstractNumId w:val="43"/>
  </w:num>
  <w:num w:numId="8">
    <w:abstractNumId w:val="1"/>
  </w:num>
  <w:num w:numId="9">
    <w:abstractNumId w:val="11"/>
  </w:num>
  <w:num w:numId="10">
    <w:abstractNumId w:val="60"/>
  </w:num>
  <w:num w:numId="11">
    <w:abstractNumId w:val="14"/>
  </w:num>
  <w:num w:numId="12">
    <w:abstractNumId w:val="3"/>
  </w:num>
  <w:num w:numId="13">
    <w:abstractNumId w:val="46"/>
  </w:num>
  <w:num w:numId="14">
    <w:abstractNumId w:val="0"/>
  </w:num>
  <w:num w:numId="15">
    <w:abstractNumId w:val="48"/>
  </w:num>
  <w:num w:numId="16">
    <w:abstractNumId w:val="7"/>
  </w:num>
  <w:num w:numId="17">
    <w:abstractNumId w:val="25"/>
  </w:num>
  <w:num w:numId="18">
    <w:abstractNumId w:val="47"/>
  </w:num>
  <w:num w:numId="19">
    <w:abstractNumId w:val="38"/>
  </w:num>
  <w:num w:numId="20">
    <w:abstractNumId w:val="40"/>
  </w:num>
  <w:num w:numId="21">
    <w:abstractNumId w:val="15"/>
  </w:num>
  <w:num w:numId="22">
    <w:abstractNumId w:val="50"/>
  </w:num>
  <w:num w:numId="23">
    <w:abstractNumId w:val="12"/>
  </w:num>
  <w:num w:numId="24">
    <w:abstractNumId w:val="19"/>
  </w:num>
  <w:num w:numId="25">
    <w:abstractNumId w:val="56"/>
  </w:num>
  <w:num w:numId="26">
    <w:abstractNumId w:val="23"/>
  </w:num>
  <w:num w:numId="27">
    <w:abstractNumId w:val="26"/>
  </w:num>
  <w:num w:numId="28">
    <w:abstractNumId w:val="51"/>
  </w:num>
  <w:num w:numId="29">
    <w:abstractNumId w:val="2"/>
  </w:num>
  <w:num w:numId="30">
    <w:abstractNumId w:val="41"/>
  </w:num>
  <w:num w:numId="31">
    <w:abstractNumId w:val="36"/>
  </w:num>
  <w:num w:numId="32">
    <w:abstractNumId w:val="5"/>
  </w:num>
  <w:num w:numId="33">
    <w:abstractNumId w:val="6"/>
  </w:num>
  <w:num w:numId="34">
    <w:abstractNumId w:val="17"/>
  </w:num>
  <w:num w:numId="35">
    <w:abstractNumId w:val="29"/>
  </w:num>
  <w:num w:numId="36">
    <w:abstractNumId w:val="37"/>
  </w:num>
  <w:num w:numId="37">
    <w:abstractNumId w:val="53"/>
  </w:num>
  <w:num w:numId="38">
    <w:abstractNumId w:val="4"/>
  </w:num>
  <w:num w:numId="39">
    <w:abstractNumId w:val="22"/>
  </w:num>
  <w:num w:numId="40">
    <w:abstractNumId w:val="57"/>
  </w:num>
  <w:num w:numId="41">
    <w:abstractNumId w:val="39"/>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27"/>
  </w:num>
  <w:num w:numId="46">
    <w:abstractNumId w:val="9"/>
  </w:num>
  <w:num w:numId="47">
    <w:abstractNumId w:val="13"/>
  </w:num>
  <w:num w:numId="48">
    <w:abstractNumId w:val="20"/>
  </w:num>
  <w:num w:numId="49">
    <w:abstractNumId w:val="33"/>
  </w:num>
  <w:num w:numId="50">
    <w:abstractNumId w:val="35"/>
  </w:num>
  <w:num w:numId="51">
    <w:abstractNumId w:val="49"/>
  </w:num>
  <w:num w:numId="52">
    <w:abstractNumId w:val="52"/>
  </w:num>
  <w:num w:numId="53">
    <w:abstractNumId w:val="55"/>
  </w:num>
  <w:num w:numId="54">
    <w:abstractNumId w:val="34"/>
  </w:num>
  <w:num w:numId="55">
    <w:abstractNumId w:val="16"/>
  </w:num>
  <w:num w:numId="56">
    <w:abstractNumId w:val="31"/>
  </w:num>
  <w:num w:numId="57">
    <w:abstractNumId w:val="24"/>
  </w:num>
  <w:num w:numId="58">
    <w:abstractNumId w:val="42"/>
  </w:num>
  <w:num w:numId="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45"/>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01"/>
    <w:rsid w:val="00000513"/>
    <w:rsid w:val="000016BF"/>
    <w:rsid w:val="00002AA3"/>
    <w:rsid w:val="00003146"/>
    <w:rsid w:val="0000537C"/>
    <w:rsid w:val="00006B0F"/>
    <w:rsid w:val="00012B5D"/>
    <w:rsid w:val="00012BAD"/>
    <w:rsid w:val="0001389A"/>
    <w:rsid w:val="0001405E"/>
    <w:rsid w:val="00020D0B"/>
    <w:rsid w:val="00022C20"/>
    <w:rsid w:val="00025A9C"/>
    <w:rsid w:val="000275D0"/>
    <w:rsid w:val="00030271"/>
    <w:rsid w:val="0003177D"/>
    <w:rsid w:val="00032259"/>
    <w:rsid w:val="00034706"/>
    <w:rsid w:val="000348D3"/>
    <w:rsid w:val="00035060"/>
    <w:rsid w:val="00036506"/>
    <w:rsid w:val="000369BA"/>
    <w:rsid w:val="00037609"/>
    <w:rsid w:val="00037C4F"/>
    <w:rsid w:val="000405F9"/>
    <w:rsid w:val="000431D7"/>
    <w:rsid w:val="00043EC9"/>
    <w:rsid w:val="00044A7A"/>
    <w:rsid w:val="00046A95"/>
    <w:rsid w:val="00051268"/>
    <w:rsid w:val="000517C4"/>
    <w:rsid w:val="0005263D"/>
    <w:rsid w:val="00053C49"/>
    <w:rsid w:val="000558C4"/>
    <w:rsid w:val="000562DC"/>
    <w:rsid w:val="00056767"/>
    <w:rsid w:val="00056CBB"/>
    <w:rsid w:val="000575DE"/>
    <w:rsid w:val="00060787"/>
    <w:rsid w:val="000622F8"/>
    <w:rsid w:val="00062F7A"/>
    <w:rsid w:val="00064EBC"/>
    <w:rsid w:val="00067AD7"/>
    <w:rsid w:val="0007365C"/>
    <w:rsid w:val="00074086"/>
    <w:rsid w:val="00074EEC"/>
    <w:rsid w:val="000769A5"/>
    <w:rsid w:val="00077D98"/>
    <w:rsid w:val="00081104"/>
    <w:rsid w:val="00082159"/>
    <w:rsid w:val="000845F4"/>
    <w:rsid w:val="00084B61"/>
    <w:rsid w:val="000852F9"/>
    <w:rsid w:val="00086B0B"/>
    <w:rsid w:val="00090D2C"/>
    <w:rsid w:val="00090FB1"/>
    <w:rsid w:val="000926D9"/>
    <w:rsid w:val="00092C9E"/>
    <w:rsid w:val="00095E77"/>
    <w:rsid w:val="000A168D"/>
    <w:rsid w:val="000A1F2A"/>
    <w:rsid w:val="000A2BD5"/>
    <w:rsid w:val="000A2D6A"/>
    <w:rsid w:val="000A3144"/>
    <w:rsid w:val="000A4EA1"/>
    <w:rsid w:val="000A5EDD"/>
    <w:rsid w:val="000A6EF9"/>
    <w:rsid w:val="000A7288"/>
    <w:rsid w:val="000B02D3"/>
    <w:rsid w:val="000B0512"/>
    <w:rsid w:val="000B5744"/>
    <w:rsid w:val="000B717A"/>
    <w:rsid w:val="000B7E29"/>
    <w:rsid w:val="000C0396"/>
    <w:rsid w:val="000C3C3B"/>
    <w:rsid w:val="000C48AE"/>
    <w:rsid w:val="000C63CC"/>
    <w:rsid w:val="000D2F17"/>
    <w:rsid w:val="000D4918"/>
    <w:rsid w:val="000D4F62"/>
    <w:rsid w:val="000D74A0"/>
    <w:rsid w:val="000D7A72"/>
    <w:rsid w:val="000D7FF5"/>
    <w:rsid w:val="000E0492"/>
    <w:rsid w:val="000E21AD"/>
    <w:rsid w:val="000E2782"/>
    <w:rsid w:val="000E47E8"/>
    <w:rsid w:val="000E55BC"/>
    <w:rsid w:val="000E666B"/>
    <w:rsid w:val="000F0704"/>
    <w:rsid w:val="000F33A9"/>
    <w:rsid w:val="000F3F5D"/>
    <w:rsid w:val="000F4720"/>
    <w:rsid w:val="000F545C"/>
    <w:rsid w:val="000F6188"/>
    <w:rsid w:val="000F7598"/>
    <w:rsid w:val="001008D7"/>
    <w:rsid w:val="001044D4"/>
    <w:rsid w:val="001044F2"/>
    <w:rsid w:val="001058F2"/>
    <w:rsid w:val="00107F8A"/>
    <w:rsid w:val="00113041"/>
    <w:rsid w:val="0011364D"/>
    <w:rsid w:val="00114734"/>
    <w:rsid w:val="00114792"/>
    <w:rsid w:val="00114A98"/>
    <w:rsid w:val="00116813"/>
    <w:rsid w:val="00116E52"/>
    <w:rsid w:val="00117F15"/>
    <w:rsid w:val="0012150E"/>
    <w:rsid w:val="00121DFF"/>
    <w:rsid w:val="0012227E"/>
    <w:rsid w:val="0012326E"/>
    <w:rsid w:val="00123BB2"/>
    <w:rsid w:val="001263C3"/>
    <w:rsid w:val="00127A87"/>
    <w:rsid w:val="001307C6"/>
    <w:rsid w:val="001343C0"/>
    <w:rsid w:val="001353FC"/>
    <w:rsid w:val="00137010"/>
    <w:rsid w:val="001408DA"/>
    <w:rsid w:val="00142C49"/>
    <w:rsid w:val="00143D92"/>
    <w:rsid w:val="00152112"/>
    <w:rsid w:val="001521D5"/>
    <w:rsid w:val="0015246A"/>
    <w:rsid w:val="00152D04"/>
    <w:rsid w:val="00154857"/>
    <w:rsid w:val="00157650"/>
    <w:rsid w:val="001615D9"/>
    <w:rsid w:val="001616A0"/>
    <w:rsid w:val="001620D1"/>
    <w:rsid w:val="00162301"/>
    <w:rsid w:val="00162377"/>
    <w:rsid w:val="001626E9"/>
    <w:rsid w:val="00164E15"/>
    <w:rsid w:val="00165057"/>
    <w:rsid w:val="001661A3"/>
    <w:rsid w:val="001670AB"/>
    <w:rsid w:val="00167DDE"/>
    <w:rsid w:val="00171C47"/>
    <w:rsid w:val="00171FCA"/>
    <w:rsid w:val="0017232A"/>
    <w:rsid w:val="001749F9"/>
    <w:rsid w:val="00176139"/>
    <w:rsid w:val="00180B1B"/>
    <w:rsid w:val="00181556"/>
    <w:rsid w:val="00182602"/>
    <w:rsid w:val="001848FC"/>
    <w:rsid w:val="00184AAE"/>
    <w:rsid w:val="00184BA1"/>
    <w:rsid w:val="0018506E"/>
    <w:rsid w:val="001902EE"/>
    <w:rsid w:val="001908E6"/>
    <w:rsid w:val="0019119E"/>
    <w:rsid w:val="001970A6"/>
    <w:rsid w:val="00197FC8"/>
    <w:rsid w:val="001A0618"/>
    <w:rsid w:val="001A1227"/>
    <w:rsid w:val="001A2141"/>
    <w:rsid w:val="001A22B2"/>
    <w:rsid w:val="001A39AF"/>
    <w:rsid w:val="001A3F47"/>
    <w:rsid w:val="001A483B"/>
    <w:rsid w:val="001A5648"/>
    <w:rsid w:val="001A7C23"/>
    <w:rsid w:val="001B085C"/>
    <w:rsid w:val="001B0D8A"/>
    <w:rsid w:val="001B0FA3"/>
    <w:rsid w:val="001B3D8A"/>
    <w:rsid w:val="001B439B"/>
    <w:rsid w:val="001B590C"/>
    <w:rsid w:val="001B63C7"/>
    <w:rsid w:val="001B6E61"/>
    <w:rsid w:val="001B7235"/>
    <w:rsid w:val="001B763E"/>
    <w:rsid w:val="001C0534"/>
    <w:rsid w:val="001C2406"/>
    <w:rsid w:val="001C4969"/>
    <w:rsid w:val="001D0DD0"/>
    <w:rsid w:val="001D0E55"/>
    <w:rsid w:val="001D13CF"/>
    <w:rsid w:val="001D1E1E"/>
    <w:rsid w:val="001D2DEA"/>
    <w:rsid w:val="001D4067"/>
    <w:rsid w:val="001D671C"/>
    <w:rsid w:val="001D74E2"/>
    <w:rsid w:val="001E1A2A"/>
    <w:rsid w:val="001E240C"/>
    <w:rsid w:val="001E2F43"/>
    <w:rsid w:val="001E38E9"/>
    <w:rsid w:val="001E4E0F"/>
    <w:rsid w:val="001E57C0"/>
    <w:rsid w:val="001E7264"/>
    <w:rsid w:val="001F047D"/>
    <w:rsid w:val="001F3979"/>
    <w:rsid w:val="001F3F22"/>
    <w:rsid w:val="001F49A7"/>
    <w:rsid w:val="001F5B73"/>
    <w:rsid w:val="001F70B3"/>
    <w:rsid w:val="002011E5"/>
    <w:rsid w:val="00202245"/>
    <w:rsid w:val="00202EC0"/>
    <w:rsid w:val="00204588"/>
    <w:rsid w:val="00206BDB"/>
    <w:rsid w:val="00211EA8"/>
    <w:rsid w:val="0021308F"/>
    <w:rsid w:val="002134EE"/>
    <w:rsid w:val="0021455E"/>
    <w:rsid w:val="002147D7"/>
    <w:rsid w:val="00215544"/>
    <w:rsid w:val="002155F0"/>
    <w:rsid w:val="00216093"/>
    <w:rsid w:val="00217AD8"/>
    <w:rsid w:val="00217D1E"/>
    <w:rsid w:val="00222DC1"/>
    <w:rsid w:val="00222EF1"/>
    <w:rsid w:val="002248BE"/>
    <w:rsid w:val="00225C58"/>
    <w:rsid w:val="00227670"/>
    <w:rsid w:val="002314DF"/>
    <w:rsid w:val="0023249B"/>
    <w:rsid w:val="00234A9F"/>
    <w:rsid w:val="00235A21"/>
    <w:rsid w:val="00235FB4"/>
    <w:rsid w:val="00236EE6"/>
    <w:rsid w:val="002401F8"/>
    <w:rsid w:val="0024179B"/>
    <w:rsid w:val="00242A9A"/>
    <w:rsid w:val="0024509D"/>
    <w:rsid w:val="00245DD3"/>
    <w:rsid w:val="00246EBD"/>
    <w:rsid w:val="00246F60"/>
    <w:rsid w:val="00251F54"/>
    <w:rsid w:val="00252300"/>
    <w:rsid w:val="00252F37"/>
    <w:rsid w:val="0025484F"/>
    <w:rsid w:val="00255B0A"/>
    <w:rsid w:val="002605F7"/>
    <w:rsid w:val="002658EF"/>
    <w:rsid w:val="002659B7"/>
    <w:rsid w:val="002702AD"/>
    <w:rsid w:val="00272E34"/>
    <w:rsid w:val="002766E7"/>
    <w:rsid w:val="002775DC"/>
    <w:rsid w:val="00280CD1"/>
    <w:rsid w:val="002822D0"/>
    <w:rsid w:val="002847AB"/>
    <w:rsid w:val="002853A5"/>
    <w:rsid w:val="00290E49"/>
    <w:rsid w:val="00291C28"/>
    <w:rsid w:val="002933D2"/>
    <w:rsid w:val="00294913"/>
    <w:rsid w:val="00294D9C"/>
    <w:rsid w:val="002951CD"/>
    <w:rsid w:val="00296258"/>
    <w:rsid w:val="002A0E6D"/>
    <w:rsid w:val="002A27C1"/>
    <w:rsid w:val="002A798A"/>
    <w:rsid w:val="002A7BC4"/>
    <w:rsid w:val="002A7CB3"/>
    <w:rsid w:val="002B006B"/>
    <w:rsid w:val="002B07D4"/>
    <w:rsid w:val="002B21B6"/>
    <w:rsid w:val="002B3DD9"/>
    <w:rsid w:val="002B439C"/>
    <w:rsid w:val="002B46DF"/>
    <w:rsid w:val="002B63D0"/>
    <w:rsid w:val="002B6FBE"/>
    <w:rsid w:val="002B7480"/>
    <w:rsid w:val="002B7B7B"/>
    <w:rsid w:val="002C154C"/>
    <w:rsid w:val="002C20D5"/>
    <w:rsid w:val="002C269B"/>
    <w:rsid w:val="002C4510"/>
    <w:rsid w:val="002D0F6C"/>
    <w:rsid w:val="002D19C0"/>
    <w:rsid w:val="002D2B7B"/>
    <w:rsid w:val="002D3282"/>
    <w:rsid w:val="002D4928"/>
    <w:rsid w:val="002D5714"/>
    <w:rsid w:val="002D5EA0"/>
    <w:rsid w:val="002E1850"/>
    <w:rsid w:val="002E3EE0"/>
    <w:rsid w:val="002E4FD7"/>
    <w:rsid w:val="002E77B6"/>
    <w:rsid w:val="002E7E13"/>
    <w:rsid w:val="002F0B4E"/>
    <w:rsid w:val="002F2526"/>
    <w:rsid w:val="002F3C7F"/>
    <w:rsid w:val="002F5182"/>
    <w:rsid w:val="00301C6B"/>
    <w:rsid w:val="00302670"/>
    <w:rsid w:val="00303956"/>
    <w:rsid w:val="00305D0C"/>
    <w:rsid w:val="00306E28"/>
    <w:rsid w:val="00307DD0"/>
    <w:rsid w:val="00307E1F"/>
    <w:rsid w:val="00310E35"/>
    <w:rsid w:val="00310F15"/>
    <w:rsid w:val="003135BB"/>
    <w:rsid w:val="00314CE8"/>
    <w:rsid w:val="003166C0"/>
    <w:rsid w:val="00317ECA"/>
    <w:rsid w:val="00320027"/>
    <w:rsid w:val="00320F9F"/>
    <w:rsid w:val="00322AE5"/>
    <w:rsid w:val="0032351A"/>
    <w:rsid w:val="00324E0F"/>
    <w:rsid w:val="00324EF9"/>
    <w:rsid w:val="003271E3"/>
    <w:rsid w:val="00327831"/>
    <w:rsid w:val="00331193"/>
    <w:rsid w:val="0033272F"/>
    <w:rsid w:val="0034019B"/>
    <w:rsid w:val="0034420A"/>
    <w:rsid w:val="0034471F"/>
    <w:rsid w:val="00346093"/>
    <w:rsid w:val="003473AD"/>
    <w:rsid w:val="00347D99"/>
    <w:rsid w:val="003514AF"/>
    <w:rsid w:val="00352775"/>
    <w:rsid w:val="00353DD0"/>
    <w:rsid w:val="0035555E"/>
    <w:rsid w:val="00356D2C"/>
    <w:rsid w:val="003601CB"/>
    <w:rsid w:val="00360C63"/>
    <w:rsid w:val="00360F14"/>
    <w:rsid w:val="003613B4"/>
    <w:rsid w:val="00361745"/>
    <w:rsid w:val="003623F6"/>
    <w:rsid w:val="00365052"/>
    <w:rsid w:val="00365F5E"/>
    <w:rsid w:val="003703B1"/>
    <w:rsid w:val="00370BA2"/>
    <w:rsid w:val="003719EC"/>
    <w:rsid w:val="00372468"/>
    <w:rsid w:val="00373532"/>
    <w:rsid w:val="00374EC7"/>
    <w:rsid w:val="00376943"/>
    <w:rsid w:val="00376FBE"/>
    <w:rsid w:val="00380501"/>
    <w:rsid w:val="00380E30"/>
    <w:rsid w:val="003839FE"/>
    <w:rsid w:val="00383F93"/>
    <w:rsid w:val="00384A34"/>
    <w:rsid w:val="00387B89"/>
    <w:rsid w:val="00391E17"/>
    <w:rsid w:val="0039233F"/>
    <w:rsid w:val="00392929"/>
    <w:rsid w:val="00392AEB"/>
    <w:rsid w:val="00393E81"/>
    <w:rsid w:val="00394CE8"/>
    <w:rsid w:val="003A12CD"/>
    <w:rsid w:val="003A2D45"/>
    <w:rsid w:val="003A4872"/>
    <w:rsid w:val="003A5AD4"/>
    <w:rsid w:val="003A6A2A"/>
    <w:rsid w:val="003A6EDD"/>
    <w:rsid w:val="003A7E61"/>
    <w:rsid w:val="003B11F7"/>
    <w:rsid w:val="003B14ED"/>
    <w:rsid w:val="003B3F69"/>
    <w:rsid w:val="003B41E8"/>
    <w:rsid w:val="003B51A5"/>
    <w:rsid w:val="003B7121"/>
    <w:rsid w:val="003C032C"/>
    <w:rsid w:val="003C0AD1"/>
    <w:rsid w:val="003C0B3B"/>
    <w:rsid w:val="003C1E42"/>
    <w:rsid w:val="003C1FE1"/>
    <w:rsid w:val="003C2F64"/>
    <w:rsid w:val="003C3F79"/>
    <w:rsid w:val="003C5291"/>
    <w:rsid w:val="003C7507"/>
    <w:rsid w:val="003D09BD"/>
    <w:rsid w:val="003D1485"/>
    <w:rsid w:val="003D2108"/>
    <w:rsid w:val="003D768E"/>
    <w:rsid w:val="003E0505"/>
    <w:rsid w:val="003E0A23"/>
    <w:rsid w:val="003E1336"/>
    <w:rsid w:val="003E1BBE"/>
    <w:rsid w:val="003E3646"/>
    <w:rsid w:val="003E5CCF"/>
    <w:rsid w:val="003E688F"/>
    <w:rsid w:val="003F1EFD"/>
    <w:rsid w:val="003F25E0"/>
    <w:rsid w:val="003F2CA6"/>
    <w:rsid w:val="003F3DB3"/>
    <w:rsid w:val="003F4F3A"/>
    <w:rsid w:val="003F5080"/>
    <w:rsid w:val="003F6B49"/>
    <w:rsid w:val="003F768D"/>
    <w:rsid w:val="0040052E"/>
    <w:rsid w:val="004007AA"/>
    <w:rsid w:val="00401FE6"/>
    <w:rsid w:val="00402E1D"/>
    <w:rsid w:val="004069CF"/>
    <w:rsid w:val="00406B5E"/>
    <w:rsid w:val="00407F37"/>
    <w:rsid w:val="00410B28"/>
    <w:rsid w:val="00410CCA"/>
    <w:rsid w:val="00411836"/>
    <w:rsid w:val="00412979"/>
    <w:rsid w:val="00414F97"/>
    <w:rsid w:val="0041527C"/>
    <w:rsid w:val="00417FC6"/>
    <w:rsid w:val="00421087"/>
    <w:rsid w:val="00424867"/>
    <w:rsid w:val="004256AC"/>
    <w:rsid w:val="004275D4"/>
    <w:rsid w:val="00433A72"/>
    <w:rsid w:val="004344D4"/>
    <w:rsid w:val="00435283"/>
    <w:rsid w:val="004364AB"/>
    <w:rsid w:val="00436ABB"/>
    <w:rsid w:val="0043710D"/>
    <w:rsid w:val="0044206D"/>
    <w:rsid w:val="00443B3A"/>
    <w:rsid w:val="00444F57"/>
    <w:rsid w:val="0044544D"/>
    <w:rsid w:val="00450403"/>
    <w:rsid w:val="00450787"/>
    <w:rsid w:val="00452A4C"/>
    <w:rsid w:val="0045542E"/>
    <w:rsid w:val="004555C9"/>
    <w:rsid w:val="00456E85"/>
    <w:rsid w:val="00456F17"/>
    <w:rsid w:val="00460F7A"/>
    <w:rsid w:val="004642C0"/>
    <w:rsid w:val="00471475"/>
    <w:rsid w:val="00472E56"/>
    <w:rsid w:val="00474127"/>
    <w:rsid w:val="004764F7"/>
    <w:rsid w:val="004776CD"/>
    <w:rsid w:val="00480F83"/>
    <w:rsid w:val="00481E43"/>
    <w:rsid w:val="00485323"/>
    <w:rsid w:val="0049247E"/>
    <w:rsid w:val="00495D23"/>
    <w:rsid w:val="00495E01"/>
    <w:rsid w:val="004A3C34"/>
    <w:rsid w:val="004A43CC"/>
    <w:rsid w:val="004B0DC8"/>
    <w:rsid w:val="004B1080"/>
    <w:rsid w:val="004B4B17"/>
    <w:rsid w:val="004C180E"/>
    <w:rsid w:val="004C3278"/>
    <w:rsid w:val="004C3B5F"/>
    <w:rsid w:val="004C41E9"/>
    <w:rsid w:val="004C59E9"/>
    <w:rsid w:val="004C7ADD"/>
    <w:rsid w:val="004C7EDA"/>
    <w:rsid w:val="004D152B"/>
    <w:rsid w:val="004D29D5"/>
    <w:rsid w:val="004D4047"/>
    <w:rsid w:val="004D5D92"/>
    <w:rsid w:val="004D7ED4"/>
    <w:rsid w:val="004E0CE2"/>
    <w:rsid w:val="004E0D70"/>
    <w:rsid w:val="004E0FDD"/>
    <w:rsid w:val="004E4E7C"/>
    <w:rsid w:val="004E559F"/>
    <w:rsid w:val="004F1537"/>
    <w:rsid w:val="004F3F4C"/>
    <w:rsid w:val="004F4489"/>
    <w:rsid w:val="004F5068"/>
    <w:rsid w:val="004F5F9E"/>
    <w:rsid w:val="004F61BB"/>
    <w:rsid w:val="005005C6"/>
    <w:rsid w:val="005038E0"/>
    <w:rsid w:val="00504073"/>
    <w:rsid w:val="005042DB"/>
    <w:rsid w:val="00505DA8"/>
    <w:rsid w:val="00506832"/>
    <w:rsid w:val="005105E4"/>
    <w:rsid w:val="00511138"/>
    <w:rsid w:val="00513069"/>
    <w:rsid w:val="005135BF"/>
    <w:rsid w:val="00513900"/>
    <w:rsid w:val="00514BD2"/>
    <w:rsid w:val="00515373"/>
    <w:rsid w:val="00515CE0"/>
    <w:rsid w:val="005164FA"/>
    <w:rsid w:val="00516A12"/>
    <w:rsid w:val="0052202D"/>
    <w:rsid w:val="005236D3"/>
    <w:rsid w:val="00523FC4"/>
    <w:rsid w:val="00526626"/>
    <w:rsid w:val="005317D7"/>
    <w:rsid w:val="00532EBB"/>
    <w:rsid w:val="00533459"/>
    <w:rsid w:val="005338DA"/>
    <w:rsid w:val="00533CE5"/>
    <w:rsid w:val="005350C6"/>
    <w:rsid w:val="00535F0D"/>
    <w:rsid w:val="00536A96"/>
    <w:rsid w:val="005376CB"/>
    <w:rsid w:val="0054065F"/>
    <w:rsid w:val="0054091E"/>
    <w:rsid w:val="0054095B"/>
    <w:rsid w:val="005438A4"/>
    <w:rsid w:val="0054630C"/>
    <w:rsid w:val="005464B5"/>
    <w:rsid w:val="0054694C"/>
    <w:rsid w:val="005521DB"/>
    <w:rsid w:val="005534AC"/>
    <w:rsid w:val="00553708"/>
    <w:rsid w:val="00554A2F"/>
    <w:rsid w:val="005551A9"/>
    <w:rsid w:val="0055529F"/>
    <w:rsid w:val="00557456"/>
    <w:rsid w:val="00557DB2"/>
    <w:rsid w:val="00561864"/>
    <w:rsid w:val="00561FB3"/>
    <w:rsid w:val="005639FC"/>
    <w:rsid w:val="005649EF"/>
    <w:rsid w:val="005668C1"/>
    <w:rsid w:val="005674A6"/>
    <w:rsid w:val="005703D3"/>
    <w:rsid w:val="00571035"/>
    <w:rsid w:val="005722AF"/>
    <w:rsid w:val="00572783"/>
    <w:rsid w:val="00573CDF"/>
    <w:rsid w:val="00575D4B"/>
    <w:rsid w:val="00576C23"/>
    <w:rsid w:val="005774CE"/>
    <w:rsid w:val="0057764E"/>
    <w:rsid w:val="00582383"/>
    <w:rsid w:val="0058423F"/>
    <w:rsid w:val="00585EC7"/>
    <w:rsid w:val="0058647D"/>
    <w:rsid w:val="00586A0F"/>
    <w:rsid w:val="00586E9B"/>
    <w:rsid w:val="00587164"/>
    <w:rsid w:val="005948E6"/>
    <w:rsid w:val="00594FD6"/>
    <w:rsid w:val="00595C9A"/>
    <w:rsid w:val="005967E5"/>
    <w:rsid w:val="005A127C"/>
    <w:rsid w:val="005A26FF"/>
    <w:rsid w:val="005A41F9"/>
    <w:rsid w:val="005A48B0"/>
    <w:rsid w:val="005A4B9D"/>
    <w:rsid w:val="005B0F7C"/>
    <w:rsid w:val="005B3E07"/>
    <w:rsid w:val="005B690A"/>
    <w:rsid w:val="005B7C47"/>
    <w:rsid w:val="005C0AC3"/>
    <w:rsid w:val="005C116D"/>
    <w:rsid w:val="005C2DD5"/>
    <w:rsid w:val="005C3679"/>
    <w:rsid w:val="005C3767"/>
    <w:rsid w:val="005C4610"/>
    <w:rsid w:val="005C5481"/>
    <w:rsid w:val="005C75F5"/>
    <w:rsid w:val="005C75FB"/>
    <w:rsid w:val="005D0F1D"/>
    <w:rsid w:val="005D5499"/>
    <w:rsid w:val="005D7985"/>
    <w:rsid w:val="005E07AB"/>
    <w:rsid w:val="005E21CE"/>
    <w:rsid w:val="005E2BE5"/>
    <w:rsid w:val="005F00FE"/>
    <w:rsid w:val="005F078C"/>
    <w:rsid w:val="005F1B06"/>
    <w:rsid w:val="005F5929"/>
    <w:rsid w:val="005F7C03"/>
    <w:rsid w:val="00600779"/>
    <w:rsid w:val="00601252"/>
    <w:rsid w:val="006026F7"/>
    <w:rsid w:val="0060381A"/>
    <w:rsid w:val="006044C7"/>
    <w:rsid w:val="00605673"/>
    <w:rsid w:val="0060659A"/>
    <w:rsid w:val="0061050E"/>
    <w:rsid w:val="006134D0"/>
    <w:rsid w:val="00616DBA"/>
    <w:rsid w:val="0061796D"/>
    <w:rsid w:val="006209FE"/>
    <w:rsid w:val="0062191B"/>
    <w:rsid w:val="006223C6"/>
    <w:rsid w:val="00623617"/>
    <w:rsid w:val="00623640"/>
    <w:rsid w:val="006248C6"/>
    <w:rsid w:val="006266A0"/>
    <w:rsid w:val="006269DB"/>
    <w:rsid w:val="006310E5"/>
    <w:rsid w:val="006323B6"/>
    <w:rsid w:val="00632BFB"/>
    <w:rsid w:val="00632D50"/>
    <w:rsid w:val="00633ADD"/>
    <w:rsid w:val="00635571"/>
    <w:rsid w:val="00635DE2"/>
    <w:rsid w:val="00637A73"/>
    <w:rsid w:val="006406BC"/>
    <w:rsid w:val="0064194B"/>
    <w:rsid w:val="00643F1A"/>
    <w:rsid w:val="006467A5"/>
    <w:rsid w:val="00647449"/>
    <w:rsid w:val="00647DB9"/>
    <w:rsid w:val="00650A72"/>
    <w:rsid w:val="00661C8B"/>
    <w:rsid w:val="00662BAB"/>
    <w:rsid w:val="00662E1C"/>
    <w:rsid w:val="00664FBA"/>
    <w:rsid w:val="006653A9"/>
    <w:rsid w:val="0067008C"/>
    <w:rsid w:val="00672008"/>
    <w:rsid w:val="00672E9A"/>
    <w:rsid w:val="006741E6"/>
    <w:rsid w:val="00674DB7"/>
    <w:rsid w:val="006755B6"/>
    <w:rsid w:val="006765F3"/>
    <w:rsid w:val="0067701B"/>
    <w:rsid w:val="00680940"/>
    <w:rsid w:val="006821E5"/>
    <w:rsid w:val="006823D2"/>
    <w:rsid w:val="006918D8"/>
    <w:rsid w:val="00695307"/>
    <w:rsid w:val="0069643C"/>
    <w:rsid w:val="00696D7C"/>
    <w:rsid w:val="006A0116"/>
    <w:rsid w:val="006A13A9"/>
    <w:rsid w:val="006A3840"/>
    <w:rsid w:val="006A38E8"/>
    <w:rsid w:val="006A3D4B"/>
    <w:rsid w:val="006A5515"/>
    <w:rsid w:val="006A56B9"/>
    <w:rsid w:val="006B0B06"/>
    <w:rsid w:val="006B0E9F"/>
    <w:rsid w:val="006B2811"/>
    <w:rsid w:val="006C0C88"/>
    <w:rsid w:val="006C0E0E"/>
    <w:rsid w:val="006C2719"/>
    <w:rsid w:val="006C2849"/>
    <w:rsid w:val="006C2EC1"/>
    <w:rsid w:val="006C3904"/>
    <w:rsid w:val="006C703A"/>
    <w:rsid w:val="006D0641"/>
    <w:rsid w:val="006D120E"/>
    <w:rsid w:val="006D1A7E"/>
    <w:rsid w:val="006D1FEB"/>
    <w:rsid w:val="006D5840"/>
    <w:rsid w:val="006D6BA1"/>
    <w:rsid w:val="006D7820"/>
    <w:rsid w:val="006D7B54"/>
    <w:rsid w:val="006D7C84"/>
    <w:rsid w:val="006E0509"/>
    <w:rsid w:val="006E45A5"/>
    <w:rsid w:val="006E7786"/>
    <w:rsid w:val="006F1394"/>
    <w:rsid w:val="006F1646"/>
    <w:rsid w:val="006F1FB2"/>
    <w:rsid w:val="006F286E"/>
    <w:rsid w:val="006F628D"/>
    <w:rsid w:val="006F6712"/>
    <w:rsid w:val="006F7393"/>
    <w:rsid w:val="006F74BC"/>
    <w:rsid w:val="00702893"/>
    <w:rsid w:val="00702BAA"/>
    <w:rsid w:val="0070396A"/>
    <w:rsid w:val="00705052"/>
    <w:rsid w:val="0070786E"/>
    <w:rsid w:val="00707E8E"/>
    <w:rsid w:val="00707FAE"/>
    <w:rsid w:val="00711025"/>
    <w:rsid w:val="00711D24"/>
    <w:rsid w:val="007140BC"/>
    <w:rsid w:val="00714609"/>
    <w:rsid w:val="00716068"/>
    <w:rsid w:val="00717679"/>
    <w:rsid w:val="00717B41"/>
    <w:rsid w:val="00717D2D"/>
    <w:rsid w:val="0072016F"/>
    <w:rsid w:val="00723CAC"/>
    <w:rsid w:val="00724E1B"/>
    <w:rsid w:val="00725326"/>
    <w:rsid w:val="00726886"/>
    <w:rsid w:val="00727F47"/>
    <w:rsid w:val="00730948"/>
    <w:rsid w:val="00731E9D"/>
    <w:rsid w:val="0073464D"/>
    <w:rsid w:val="00735B79"/>
    <w:rsid w:val="00737C98"/>
    <w:rsid w:val="00740F13"/>
    <w:rsid w:val="00742868"/>
    <w:rsid w:val="00746B15"/>
    <w:rsid w:val="00746E9F"/>
    <w:rsid w:val="0075484D"/>
    <w:rsid w:val="00756206"/>
    <w:rsid w:val="0075666B"/>
    <w:rsid w:val="0075694C"/>
    <w:rsid w:val="00756BDC"/>
    <w:rsid w:val="00757202"/>
    <w:rsid w:val="00761E61"/>
    <w:rsid w:val="00762EF1"/>
    <w:rsid w:val="0076482E"/>
    <w:rsid w:val="007651DF"/>
    <w:rsid w:val="00772C1E"/>
    <w:rsid w:val="007747CB"/>
    <w:rsid w:val="00775E08"/>
    <w:rsid w:val="00777A59"/>
    <w:rsid w:val="007819C1"/>
    <w:rsid w:val="00782241"/>
    <w:rsid w:val="0078244B"/>
    <w:rsid w:val="00783B44"/>
    <w:rsid w:val="0078433B"/>
    <w:rsid w:val="00785800"/>
    <w:rsid w:val="00785C83"/>
    <w:rsid w:val="007863DF"/>
    <w:rsid w:val="00786E01"/>
    <w:rsid w:val="00787294"/>
    <w:rsid w:val="00787374"/>
    <w:rsid w:val="007929A8"/>
    <w:rsid w:val="00794BDC"/>
    <w:rsid w:val="007951AD"/>
    <w:rsid w:val="00795C78"/>
    <w:rsid w:val="0079676A"/>
    <w:rsid w:val="007A0336"/>
    <w:rsid w:val="007A0A82"/>
    <w:rsid w:val="007A1DE8"/>
    <w:rsid w:val="007A241A"/>
    <w:rsid w:val="007A3770"/>
    <w:rsid w:val="007A5064"/>
    <w:rsid w:val="007A6E18"/>
    <w:rsid w:val="007A7E42"/>
    <w:rsid w:val="007B0F2F"/>
    <w:rsid w:val="007B108D"/>
    <w:rsid w:val="007B19E3"/>
    <w:rsid w:val="007B1E45"/>
    <w:rsid w:val="007B21A1"/>
    <w:rsid w:val="007B241A"/>
    <w:rsid w:val="007B2F7E"/>
    <w:rsid w:val="007B49A4"/>
    <w:rsid w:val="007C2673"/>
    <w:rsid w:val="007C287F"/>
    <w:rsid w:val="007C5929"/>
    <w:rsid w:val="007C5ACC"/>
    <w:rsid w:val="007C745A"/>
    <w:rsid w:val="007D1129"/>
    <w:rsid w:val="007D1824"/>
    <w:rsid w:val="007D2910"/>
    <w:rsid w:val="007D528D"/>
    <w:rsid w:val="007D6A1B"/>
    <w:rsid w:val="007D76D1"/>
    <w:rsid w:val="007E14DF"/>
    <w:rsid w:val="007E154C"/>
    <w:rsid w:val="007E1621"/>
    <w:rsid w:val="007E3037"/>
    <w:rsid w:val="007E4009"/>
    <w:rsid w:val="007E4709"/>
    <w:rsid w:val="007E60DC"/>
    <w:rsid w:val="007E7DAE"/>
    <w:rsid w:val="007F17B3"/>
    <w:rsid w:val="007F36C0"/>
    <w:rsid w:val="007F470E"/>
    <w:rsid w:val="007F5A8B"/>
    <w:rsid w:val="007F753C"/>
    <w:rsid w:val="007F7BA9"/>
    <w:rsid w:val="0080157C"/>
    <w:rsid w:val="00803B98"/>
    <w:rsid w:val="00806343"/>
    <w:rsid w:val="00807007"/>
    <w:rsid w:val="008129FC"/>
    <w:rsid w:val="0081416C"/>
    <w:rsid w:val="0081667B"/>
    <w:rsid w:val="008170E1"/>
    <w:rsid w:val="00817305"/>
    <w:rsid w:val="00820376"/>
    <w:rsid w:val="00825B51"/>
    <w:rsid w:val="00825C3D"/>
    <w:rsid w:val="00832932"/>
    <w:rsid w:val="00833A89"/>
    <w:rsid w:val="00834446"/>
    <w:rsid w:val="00840A28"/>
    <w:rsid w:val="00844926"/>
    <w:rsid w:val="00850172"/>
    <w:rsid w:val="008537A5"/>
    <w:rsid w:val="008572AB"/>
    <w:rsid w:val="00862063"/>
    <w:rsid w:val="00862195"/>
    <w:rsid w:val="008623F6"/>
    <w:rsid w:val="0086396A"/>
    <w:rsid w:val="00864096"/>
    <w:rsid w:val="00864145"/>
    <w:rsid w:val="008641D1"/>
    <w:rsid w:val="008646E3"/>
    <w:rsid w:val="00864EA2"/>
    <w:rsid w:val="0086689E"/>
    <w:rsid w:val="00866F20"/>
    <w:rsid w:val="008677CF"/>
    <w:rsid w:val="008762CF"/>
    <w:rsid w:val="00876623"/>
    <w:rsid w:val="00881314"/>
    <w:rsid w:val="008858C7"/>
    <w:rsid w:val="008864F6"/>
    <w:rsid w:val="008869C9"/>
    <w:rsid w:val="00886F46"/>
    <w:rsid w:val="008919E4"/>
    <w:rsid w:val="00892813"/>
    <w:rsid w:val="008A1DF4"/>
    <w:rsid w:val="008A2BF5"/>
    <w:rsid w:val="008A60FF"/>
    <w:rsid w:val="008A7488"/>
    <w:rsid w:val="008A76FA"/>
    <w:rsid w:val="008B15EF"/>
    <w:rsid w:val="008B4628"/>
    <w:rsid w:val="008B55C1"/>
    <w:rsid w:val="008C058C"/>
    <w:rsid w:val="008C25F6"/>
    <w:rsid w:val="008C4076"/>
    <w:rsid w:val="008C63B2"/>
    <w:rsid w:val="008C693D"/>
    <w:rsid w:val="008D154F"/>
    <w:rsid w:val="008D16EB"/>
    <w:rsid w:val="008D2346"/>
    <w:rsid w:val="008E228D"/>
    <w:rsid w:val="008E2C0C"/>
    <w:rsid w:val="008E4409"/>
    <w:rsid w:val="008E5131"/>
    <w:rsid w:val="008E6C5B"/>
    <w:rsid w:val="008F0ABB"/>
    <w:rsid w:val="008F1C1E"/>
    <w:rsid w:val="008F3057"/>
    <w:rsid w:val="008F4935"/>
    <w:rsid w:val="00900CD8"/>
    <w:rsid w:val="0090291C"/>
    <w:rsid w:val="00903905"/>
    <w:rsid w:val="00903CAF"/>
    <w:rsid w:val="009044A7"/>
    <w:rsid w:val="00904580"/>
    <w:rsid w:val="0091223F"/>
    <w:rsid w:val="00912911"/>
    <w:rsid w:val="009132E1"/>
    <w:rsid w:val="00913984"/>
    <w:rsid w:val="00915F4C"/>
    <w:rsid w:val="00916BC0"/>
    <w:rsid w:val="009179A1"/>
    <w:rsid w:val="00917A15"/>
    <w:rsid w:val="00922131"/>
    <w:rsid w:val="00922B30"/>
    <w:rsid w:val="00922F78"/>
    <w:rsid w:val="00927C49"/>
    <w:rsid w:val="0093137E"/>
    <w:rsid w:val="009320DD"/>
    <w:rsid w:val="00933475"/>
    <w:rsid w:val="009341AF"/>
    <w:rsid w:val="009341BF"/>
    <w:rsid w:val="0093429E"/>
    <w:rsid w:val="00936FAA"/>
    <w:rsid w:val="00937521"/>
    <w:rsid w:val="00937E44"/>
    <w:rsid w:val="0094017E"/>
    <w:rsid w:val="0094177E"/>
    <w:rsid w:val="009427C5"/>
    <w:rsid w:val="009427ED"/>
    <w:rsid w:val="00942825"/>
    <w:rsid w:val="00942837"/>
    <w:rsid w:val="009429D8"/>
    <w:rsid w:val="00942F5E"/>
    <w:rsid w:val="00943573"/>
    <w:rsid w:val="009461F5"/>
    <w:rsid w:val="009473D1"/>
    <w:rsid w:val="00947605"/>
    <w:rsid w:val="00947889"/>
    <w:rsid w:val="0094791F"/>
    <w:rsid w:val="00950AD1"/>
    <w:rsid w:val="009522BA"/>
    <w:rsid w:val="009522FA"/>
    <w:rsid w:val="0095601E"/>
    <w:rsid w:val="009568A4"/>
    <w:rsid w:val="00962A68"/>
    <w:rsid w:val="0096444C"/>
    <w:rsid w:val="009700FB"/>
    <w:rsid w:val="00974179"/>
    <w:rsid w:val="009742FC"/>
    <w:rsid w:val="009746F4"/>
    <w:rsid w:val="00977DF1"/>
    <w:rsid w:val="00980BAC"/>
    <w:rsid w:val="00980F24"/>
    <w:rsid w:val="00981B28"/>
    <w:rsid w:val="009820CD"/>
    <w:rsid w:val="00984943"/>
    <w:rsid w:val="00985CDE"/>
    <w:rsid w:val="00986AD8"/>
    <w:rsid w:val="00987149"/>
    <w:rsid w:val="00987DDA"/>
    <w:rsid w:val="00991613"/>
    <w:rsid w:val="00992448"/>
    <w:rsid w:val="00996C1B"/>
    <w:rsid w:val="00996CC9"/>
    <w:rsid w:val="009A04F7"/>
    <w:rsid w:val="009A0BF7"/>
    <w:rsid w:val="009A50BE"/>
    <w:rsid w:val="009A7A16"/>
    <w:rsid w:val="009B227A"/>
    <w:rsid w:val="009B33D2"/>
    <w:rsid w:val="009B45B9"/>
    <w:rsid w:val="009B53A6"/>
    <w:rsid w:val="009C1155"/>
    <w:rsid w:val="009C3145"/>
    <w:rsid w:val="009C4E97"/>
    <w:rsid w:val="009C5378"/>
    <w:rsid w:val="009C643E"/>
    <w:rsid w:val="009C6DD3"/>
    <w:rsid w:val="009D081F"/>
    <w:rsid w:val="009D1010"/>
    <w:rsid w:val="009D1381"/>
    <w:rsid w:val="009D1FE6"/>
    <w:rsid w:val="009D2B27"/>
    <w:rsid w:val="009D74BA"/>
    <w:rsid w:val="009E2F90"/>
    <w:rsid w:val="009E3B89"/>
    <w:rsid w:val="009E4800"/>
    <w:rsid w:val="009E4805"/>
    <w:rsid w:val="009E6DB6"/>
    <w:rsid w:val="009E7580"/>
    <w:rsid w:val="009F10BA"/>
    <w:rsid w:val="009F1940"/>
    <w:rsid w:val="009F30E8"/>
    <w:rsid w:val="009F397C"/>
    <w:rsid w:val="009F41FE"/>
    <w:rsid w:val="009F7CCD"/>
    <w:rsid w:val="00A01C70"/>
    <w:rsid w:val="00A02762"/>
    <w:rsid w:val="00A03324"/>
    <w:rsid w:val="00A033C6"/>
    <w:rsid w:val="00A03DE1"/>
    <w:rsid w:val="00A0564C"/>
    <w:rsid w:val="00A062EE"/>
    <w:rsid w:val="00A1080E"/>
    <w:rsid w:val="00A118E3"/>
    <w:rsid w:val="00A11B7A"/>
    <w:rsid w:val="00A11CD8"/>
    <w:rsid w:val="00A164CC"/>
    <w:rsid w:val="00A20804"/>
    <w:rsid w:val="00A21987"/>
    <w:rsid w:val="00A21FD7"/>
    <w:rsid w:val="00A2409A"/>
    <w:rsid w:val="00A25B2A"/>
    <w:rsid w:val="00A2674C"/>
    <w:rsid w:val="00A27F18"/>
    <w:rsid w:val="00A302BF"/>
    <w:rsid w:val="00A3100C"/>
    <w:rsid w:val="00A313A4"/>
    <w:rsid w:val="00A3225A"/>
    <w:rsid w:val="00A3284F"/>
    <w:rsid w:val="00A35F66"/>
    <w:rsid w:val="00A36D71"/>
    <w:rsid w:val="00A41311"/>
    <w:rsid w:val="00A418BD"/>
    <w:rsid w:val="00A420F1"/>
    <w:rsid w:val="00A43C11"/>
    <w:rsid w:val="00A4456F"/>
    <w:rsid w:val="00A47FFA"/>
    <w:rsid w:val="00A505D0"/>
    <w:rsid w:val="00A50BDC"/>
    <w:rsid w:val="00A557BA"/>
    <w:rsid w:val="00A55A61"/>
    <w:rsid w:val="00A60782"/>
    <w:rsid w:val="00A609BB"/>
    <w:rsid w:val="00A61156"/>
    <w:rsid w:val="00A67499"/>
    <w:rsid w:val="00A67B79"/>
    <w:rsid w:val="00A70155"/>
    <w:rsid w:val="00A706AF"/>
    <w:rsid w:val="00A7075D"/>
    <w:rsid w:val="00A70B16"/>
    <w:rsid w:val="00A72796"/>
    <w:rsid w:val="00A7383E"/>
    <w:rsid w:val="00A73C8E"/>
    <w:rsid w:val="00A75D58"/>
    <w:rsid w:val="00A7673C"/>
    <w:rsid w:val="00A839E5"/>
    <w:rsid w:val="00A84A36"/>
    <w:rsid w:val="00A86C80"/>
    <w:rsid w:val="00A86C8C"/>
    <w:rsid w:val="00A8730B"/>
    <w:rsid w:val="00A87F27"/>
    <w:rsid w:val="00A92545"/>
    <w:rsid w:val="00A92EE0"/>
    <w:rsid w:val="00A93B42"/>
    <w:rsid w:val="00A95B99"/>
    <w:rsid w:val="00A9681D"/>
    <w:rsid w:val="00A9731F"/>
    <w:rsid w:val="00AA1620"/>
    <w:rsid w:val="00AA2CDD"/>
    <w:rsid w:val="00AA4C3F"/>
    <w:rsid w:val="00AA5036"/>
    <w:rsid w:val="00AA52B6"/>
    <w:rsid w:val="00AA5575"/>
    <w:rsid w:val="00AA5BD9"/>
    <w:rsid w:val="00AA7C8E"/>
    <w:rsid w:val="00AB0D1C"/>
    <w:rsid w:val="00AB1EF1"/>
    <w:rsid w:val="00AB21EF"/>
    <w:rsid w:val="00AB3C38"/>
    <w:rsid w:val="00AB3D4D"/>
    <w:rsid w:val="00AB41C0"/>
    <w:rsid w:val="00AB6DE7"/>
    <w:rsid w:val="00AB727E"/>
    <w:rsid w:val="00AC1015"/>
    <w:rsid w:val="00AC4CFE"/>
    <w:rsid w:val="00AC570A"/>
    <w:rsid w:val="00AC626D"/>
    <w:rsid w:val="00AC7C42"/>
    <w:rsid w:val="00AD049B"/>
    <w:rsid w:val="00AD318C"/>
    <w:rsid w:val="00AE3901"/>
    <w:rsid w:val="00AE4DBB"/>
    <w:rsid w:val="00AE51F5"/>
    <w:rsid w:val="00AE6A50"/>
    <w:rsid w:val="00AE7BDE"/>
    <w:rsid w:val="00AF2F34"/>
    <w:rsid w:val="00AF35CB"/>
    <w:rsid w:val="00AF3B70"/>
    <w:rsid w:val="00AF3BDC"/>
    <w:rsid w:val="00AF531E"/>
    <w:rsid w:val="00AF62CF"/>
    <w:rsid w:val="00AF6DE9"/>
    <w:rsid w:val="00AF7B77"/>
    <w:rsid w:val="00B01530"/>
    <w:rsid w:val="00B0180B"/>
    <w:rsid w:val="00B02B77"/>
    <w:rsid w:val="00B03BFD"/>
    <w:rsid w:val="00B07BBF"/>
    <w:rsid w:val="00B10495"/>
    <w:rsid w:val="00B10980"/>
    <w:rsid w:val="00B11BB7"/>
    <w:rsid w:val="00B1340F"/>
    <w:rsid w:val="00B13939"/>
    <w:rsid w:val="00B1394A"/>
    <w:rsid w:val="00B1446B"/>
    <w:rsid w:val="00B16921"/>
    <w:rsid w:val="00B26DCE"/>
    <w:rsid w:val="00B275C8"/>
    <w:rsid w:val="00B309C8"/>
    <w:rsid w:val="00B30CDA"/>
    <w:rsid w:val="00B310F6"/>
    <w:rsid w:val="00B354FD"/>
    <w:rsid w:val="00B35A50"/>
    <w:rsid w:val="00B37634"/>
    <w:rsid w:val="00B40211"/>
    <w:rsid w:val="00B40AF4"/>
    <w:rsid w:val="00B40C57"/>
    <w:rsid w:val="00B45378"/>
    <w:rsid w:val="00B4588A"/>
    <w:rsid w:val="00B45FE4"/>
    <w:rsid w:val="00B46680"/>
    <w:rsid w:val="00B46972"/>
    <w:rsid w:val="00B51D86"/>
    <w:rsid w:val="00B51F2E"/>
    <w:rsid w:val="00B529D5"/>
    <w:rsid w:val="00B534E9"/>
    <w:rsid w:val="00B53938"/>
    <w:rsid w:val="00B55476"/>
    <w:rsid w:val="00B5548D"/>
    <w:rsid w:val="00B55D0F"/>
    <w:rsid w:val="00B600C0"/>
    <w:rsid w:val="00B61A11"/>
    <w:rsid w:val="00B6280E"/>
    <w:rsid w:val="00B62B2B"/>
    <w:rsid w:val="00B6460A"/>
    <w:rsid w:val="00B64876"/>
    <w:rsid w:val="00B649D6"/>
    <w:rsid w:val="00B650E0"/>
    <w:rsid w:val="00B6520E"/>
    <w:rsid w:val="00B66EA9"/>
    <w:rsid w:val="00B70C34"/>
    <w:rsid w:val="00B71853"/>
    <w:rsid w:val="00B736E7"/>
    <w:rsid w:val="00B76848"/>
    <w:rsid w:val="00B8055A"/>
    <w:rsid w:val="00B80C7A"/>
    <w:rsid w:val="00B813E9"/>
    <w:rsid w:val="00B81943"/>
    <w:rsid w:val="00B827E8"/>
    <w:rsid w:val="00B82BF5"/>
    <w:rsid w:val="00B854B5"/>
    <w:rsid w:val="00B87E4E"/>
    <w:rsid w:val="00B91195"/>
    <w:rsid w:val="00B92D1B"/>
    <w:rsid w:val="00B9301D"/>
    <w:rsid w:val="00B96346"/>
    <w:rsid w:val="00B965D7"/>
    <w:rsid w:val="00BA3C21"/>
    <w:rsid w:val="00BA4EA1"/>
    <w:rsid w:val="00BB04BF"/>
    <w:rsid w:val="00BB0ADA"/>
    <w:rsid w:val="00BB2325"/>
    <w:rsid w:val="00BC530F"/>
    <w:rsid w:val="00BC58A4"/>
    <w:rsid w:val="00BC65BA"/>
    <w:rsid w:val="00BC6F6B"/>
    <w:rsid w:val="00BC7A0F"/>
    <w:rsid w:val="00BD09B2"/>
    <w:rsid w:val="00BD4C2A"/>
    <w:rsid w:val="00BD53F9"/>
    <w:rsid w:val="00BE186A"/>
    <w:rsid w:val="00BE46ED"/>
    <w:rsid w:val="00BE4F99"/>
    <w:rsid w:val="00BE7463"/>
    <w:rsid w:val="00BF0FD1"/>
    <w:rsid w:val="00BF3032"/>
    <w:rsid w:val="00BF30A5"/>
    <w:rsid w:val="00BF7F0A"/>
    <w:rsid w:val="00C01F29"/>
    <w:rsid w:val="00C0287C"/>
    <w:rsid w:val="00C05CF5"/>
    <w:rsid w:val="00C0718D"/>
    <w:rsid w:val="00C16955"/>
    <w:rsid w:val="00C17BDA"/>
    <w:rsid w:val="00C20A49"/>
    <w:rsid w:val="00C20FD9"/>
    <w:rsid w:val="00C2303C"/>
    <w:rsid w:val="00C234B6"/>
    <w:rsid w:val="00C240AE"/>
    <w:rsid w:val="00C2410C"/>
    <w:rsid w:val="00C24434"/>
    <w:rsid w:val="00C24DA0"/>
    <w:rsid w:val="00C26194"/>
    <w:rsid w:val="00C2718C"/>
    <w:rsid w:val="00C33A3A"/>
    <w:rsid w:val="00C3501A"/>
    <w:rsid w:val="00C355ED"/>
    <w:rsid w:val="00C36B2C"/>
    <w:rsid w:val="00C414D4"/>
    <w:rsid w:val="00C41D32"/>
    <w:rsid w:val="00C438F5"/>
    <w:rsid w:val="00C4392B"/>
    <w:rsid w:val="00C44914"/>
    <w:rsid w:val="00C44D06"/>
    <w:rsid w:val="00C451CD"/>
    <w:rsid w:val="00C4770F"/>
    <w:rsid w:val="00C50BFD"/>
    <w:rsid w:val="00C52C8A"/>
    <w:rsid w:val="00C565A1"/>
    <w:rsid w:val="00C567EE"/>
    <w:rsid w:val="00C56C60"/>
    <w:rsid w:val="00C57DF3"/>
    <w:rsid w:val="00C60033"/>
    <w:rsid w:val="00C609AC"/>
    <w:rsid w:val="00C61809"/>
    <w:rsid w:val="00C623AE"/>
    <w:rsid w:val="00C624DD"/>
    <w:rsid w:val="00C652C7"/>
    <w:rsid w:val="00C6746E"/>
    <w:rsid w:val="00C679B9"/>
    <w:rsid w:val="00C70907"/>
    <w:rsid w:val="00C70E78"/>
    <w:rsid w:val="00C7704C"/>
    <w:rsid w:val="00C771D3"/>
    <w:rsid w:val="00C80DFC"/>
    <w:rsid w:val="00C814FD"/>
    <w:rsid w:val="00C815D0"/>
    <w:rsid w:val="00C81B49"/>
    <w:rsid w:val="00C82C06"/>
    <w:rsid w:val="00C846FD"/>
    <w:rsid w:val="00C867AF"/>
    <w:rsid w:val="00C87FCC"/>
    <w:rsid w:val="00C87FED"/>
    <w:rsid w:val="00C91782"/>
    <w:rsid w:val="00C91FF9"/>
    <w:rsid w:val="00C936B8"/>
    <w:rsid w:val="00C95C43"/>
    <w:rsid w:val="00C96595"/>
    <w:rsid w:val="00C96E45"/>
    <w:rsid w:val="00C97841"/>
    <w:rsid w:val="00CA07EC"/>
    <w:rsid w:val="00CA08B8"/>
    <w:rsid w:val="00CA0E0D"/>
    <w:rsid w:val="00CA0E87"/>
    <w:rsid w:val="00CA14F5"/>
    <w:rsid w:val="00CA42F1"/>
    <w:rsid w:val="00CA672A"/>
    <w:rsid w:val="00CA6D04"/>
    <w:rsid w:val="00CB05D6"/>
    <w:rsid w:val="00CB0EA0"/>
    <w:rsid w:val="00CB11B9"/>
    <w:rsid w:val="00CB1C8F"/>
    <w:rsid w:val="00CB1E8D"/>
    <w:rsid w:val="00CB200B"/>
    <w:rsid w:val="00CB2859"/>
    <w:rsid w:val="00CB520B"/>
    <w:rsid w:val="00CB5FA0"/>
    <w:rsid w:val="00CB60D4"/>
    <w:rsid w:val="00CB7F6F"/>
    <w:rsid w:val="00CC0DE6"/>
    <w:rsid w:val="00CC1A07"/>
    <w:rsid w:val="00CC30C4"/>
    <w:rsid w:val="00CC7A31"/>
    <w:rsid w:val="00CD16A0"/>
    <w:rsid w:val="00CD26AF"/>
    <w:rsid w:val="00CD3B69"/>
    <w:rsid w:val="00CD3D95"/>
    <w:rsid w:val="00CD62E9"/>
    <w:rsid w:val="00CD6AD3"/>
    <w:rsid w:val="00CD6E1B"/>
    <w:rsid w:val="00CE0753"/>
    <w:rsid w:val="00CE08D1"/>
    <w:rsid w:val="00CE1876"/>
    <w:rsid w:val="00CE20B9"/>
    <w:rsid w:val="00CE26E8"/>
    <w:rsid w:val="00CE554A"/>
    <w:rsid w:val="00CE6133"/>
    <w:rsid w:val="00CE6E90"/>
    <w:rsid w:val="00CF0E21"/>
    <w:rsid w:val="00CF1527"/>
    <w:rsid w:val="00CF15E2"/>
    <w:rsid w:val="00CF377F"/>
    <w:rsid w:val="00CF3E81"/>
    <w:rsid w:val="00D00718"/>
    <w:rsid w:val="00D0150A"/>
    <w:rsid w:val="00D01573"/>
    <w:rsid w:val="00D03B90"/>
    <w:rsid w:val="00D04736"/>
    <w:rsid w:val="00D07235"/>
    <w:rsid w:val="00D073DF"/>
    <w:rsid w:val="00D12D88"/>
    <w:rsid w:val="00D13C1A"/>
    <w:rsid w:val="00D14188"/>
    <w:rsid w:val="00D144E1"/>
    <w:rsid w:val="00D1722C"/>
    <w:rsid w:val="00D20561"/>
    <w:rsid w:val="00D2180F"/>
    <w:rsid w:val="00D21889"/>
    <w:rsid w:val="00D21B1C"/>
    <w:rsid w:val="00D2271F"/>
    <w:rsid w:val="00D2283A"/>
    <w:rsid w:val="00D22A34"/>
    <w:rsid w:val="00D24EB0"/>
    <w:rsid w:val="00D26BE9"/>
    <w:rsid w:val="00D30BD6"/>
    <w:rsid w:val="00D30CBF"/>
    <w:rsid w:val="00D30DF2"/>
    <w:rsid w:val="00D33CEC"/>
    <w:rsid w:val="00D346C5"/>
    <w:rsid w:val="00D35CAE"/>
    <w:rsid w:val="00D40EC1"/>
    <w:rsid w:val="00D41AE3"/>
    <w:rsid w:val="00D42867"/>
    <w:rsid w:val="00D459AC"/>
    <w:rsid w:val="00D46597"/>
    <w:rsid w:val="00D47B42"/>
    <w:rsid w:val="00D50013"/>
    <w:rsid w:val="00D5020F"/>
    <w:rsid w:val="00D51287"/>
    <w:rsid w:val="00D51A5C"/>
    <w:rsid w:val="00D54F3C"/>
    <w:rsid w:val="00D56FA7"/>
    <w:rsid w:val="00D57212"/>
    <w:rsid w:val="00D61C9D"/>
    <w:rsid w:val="00D62289"/>
    <w:rsid w:val="00D62C0F"/>
    <w:rsid w:val="00D6569A"/>
    <w:rsid w:val="00D67E70"/>
    <w:rsid w:val="00D70730"/>
    <w:rsid w:val="00D73A43"/>
    <w:rsid w:val="00D746D9"/>
    <w:rsid w:val="00D74981"/>
    <w:rsid w:val="00D75A78"/>
    <w:rsid w:val="00D7669A"/>
    <w:rsid w:val="00D81120"/>
    <w:rsid w:val="00D82701"/>
    <w:rsid w:val="00D83933"/>
    <w:rsid w:val="00D84C2C"/>
    <w:rsid w:val="00D87582"/>
    <w:rsid w:val="00D9120B"/>
    <w:rsid w:val="00D94D82"/>
    <w:rsid w:val="00D95033"/>
    <w:rsid w:val="00D9581B"/>
    <w:rsid w:val="00DA0207"/>
    <w:rsid w:val="00DA0A86"/>
    <w:rsid w:val="00DA2FB2"/>
    <w:rsid w:val="00DA3306"/>
    <w:rsid w:val="00DA34D4"/>
    <w:rsid w:val="00DA3C22"/>
    <w:rsid w:val="00DA754F"/>
    <w:rsid w:val="00DB1779"/>
    <w:rsid w:val="00DB2A01"/>
    <w:rsid w:val="00DB7C4C"/>
    <w:rsid w:val="00DC27AC"/>
    <w:rsid w:val="00DC4401"/>
    <w:rsid w:val="00DC4C38"/>
    <w:rsid w:val="00DC6E0A"/>
    <w:rsid w:val="00DC76F0"/>
    <w:rsid w:val="00DD0EC4"/>
    <w:rsid w:val="00DD264A"/>
    <w:rsid w:val="00DD2658"/>
    <w:rsid w:val="00DD2FFF"/>
    <w:rsid w:val="00DD3A89"/>
    <w:rsid w:val="00DD4D6B"/>
    <w:rsid w:val="00DE2813"/>
    <w:rsid w:val="00DE3A9B"/>
    <w:rsid w:val="00DE44AC"/>
    <w:rsid w:val="00DE4C74"/>
    <w:rsid w:val="00DE4EF0"/>
    <w:rsid w:val="00DF0609"/>
    <w:rsid w:val="00DF1A37"/>
    <w:rsid w:val="00DF36D3"/>
    <w:rsid w:val="00DF3AD3"/>
    <w:rsid w:val="00DF3F9A"/>
    <w:rsid w:val="00E014C1"/>
    <w:rsid w:val="00E0225E"/>
    <w:rsid w:val="00E024BA"/>
    <w:rsid w:val="00E025A6"/>
    <w:rsid w:val="00E038DA"/>
    <w:rsid w:val="00E07D75"/>
    <w:rsid w:val="00E10052"/>
    <w:rsid w:val="00E1072C"/>
    <w:rsid w:val="00E1080C"/>
    <w:rsid w:val="00E153D8"/>
    <w:rsid w:val="00E16AB2"/>
    <w:rsid w:val="00E176C8"/>
    <w:rsid w:val="00E213EA"/>
    <w:rsid w:val="00E22447"/>
    <w:rsid w:val="00E224DB"/>
    <w:rsid w:val="00E226D1"/>
    <w:rsid w:val="00E245C4"/>
    <w:rsid w:val="00E2626C"/>
    <w:rsid w:val="00E3074E"/>
    <w:rsid w:val="00E420E8"/>
    <w:rsid w:val="00E429D5"/>
    <w:rsid w:val="00E42AF1"/>
    <w:rsid w:val="00E448C5"/>
    <w:rsid w:val="00E44A1C"/>
    <w:rsid w:val="00E50983"/>
    <w:rsid w:val="00E5159C"/>
    <w:rsid w:val="00E54965"/>
    <w:rsid w:val="00E54FAE"/>
    <w:rsid w:val="00E56FE8"/>
    <w:rsid w:val="00E61D5F"/>
    <w:rsid w:val="00E65B2B"/>
    <w:rsid w:val="00E6664F"/>
    <w:rsid w:val="00E67C5A"/>
    <w:rsid w:val="00E707C7"/>
    <w:rsid w:val="00E718FD"/>
    <w:rsid w:val="00E72AF9"/>
    <w:rsid w:val="00E731C9"/>
    <w:rsid w:val="00E74F52"/>
    <w:rsid w:val="00E76053"/>
    <w:rsid w:val="00E76CB6"/>
    <w:rsid w:val="00E8067B"/>
    <w:rsid w:val="00E82401"/>
    <w:rsid w:val="00E854D6"/>
    <w:rsid w:val="00E879D0"/>
    <w:rsid w:val="00E90125"/>
    <w:rsid w:val="00E90599"/>
    <w:rsid w:val="00E919A5"/>
    <w:rsid w:val="00E923AA"/>
    <w:rsid w:val="00E923DD"/>
    <w:rsid w:val="00E92CB5"/>
    <w:rsid w:val="00E9366F"/>
    <w:rsid w:val="00E9483B"/>
    <w:rsid w:val="00E95358"/>
    <w:rsid w:val="00E975E6"/>
    <w:rsid w:val="00E9791D"/>
    <w:rsid w:val="00E97F7F"/>
    <w:rsid w:val="00EA0B4F"/>
    <w:rsid w:val="00EA1C5A"/>
    <w:rsid w:val="00EA1EC1"/>
    <w:rsid w:val="00EA397E"/>
    <w:rsid w:val="00EA4367"/>
    <w:rsid w:val="00EA4C1B"/>
    <w:rsid w:val="00EA5190"/>
    <w:rsid w:val="00EA6465"/>
    <w:rsid w:val="00EA6FC2"/>
    <w:rsid w:val="00EA7782"/>
    <w:rsid w:val="00EB063F"/>
    <w:rsid w:val="00EB2572"/>
    <w:rsid w:val="00EB345F"/>
    <w:rsid w:val="00EB396B"/>
    <w:rsid w:val="00EB3AB4"/>
    <w:rsid w:val="00EB5E63"/>
    <w:rsid w:val="00EB7F7B"/>
    <w:rsid w:val="00EC0701"/>
    <w:rsid w:val="00EC0EFB"/>
    <w:rsid w:val="00EC16B0"/>
    <w:rsid w:val="00EC2C68"/>
    <w:rsid w:val="00EC36DD"/>
    <w:rsid w:val="00EC66AE"/>
    <w:rsid w:val="00EC7344"/>
    <w:rsid w:val="00ED16C2"/>
    <w:rsid w:val="00ED236C"/>
    <w:rsid w:val="00ED3358"/>
    <w:rsid w:val="00ED4428"/>
    <w:rsid w:val="00ED568C"/>
    <w:rsid w:val="00ED5C7A"/>
    <w:rsid w:val="00ED6905"/>
    <w:rsid w:val="00ED6B91"/>
    <w:rsid w:val="00EE0070"/>
    <w:rsid w:val="00EE0A3A"/>
    <w:rsid w:val="00EE0B2F"/>
    <w:rsid w:val="00EE2921"/>
    <w:rsid w:val="00EE2948"/>
    <w:rsid w:val="00EE3801"/>
    <w:rsid w:val="00EE3D4F"/>
    <w:rsid w:val="00EF2F03"/>
    <w:rsid w:val="00EF37F4"/>
    <w:rsid w:val="00EF53EC"/>
    <w:rsid w:val="00F06E43"/>
    <w:rsid w:val="00F10B11"/>
    <w:rsid w:val="00F11431"/>
    <w:rsid w:val="00F11C22"/>
    <w:rsid w:val="00F13036"/>
    <w:rsid w:val="00F150B4"/>
    <w:rsid w:val="00F1607B"/>
    <w:rsid w:val="00F16891"/>
    <w:rsid w:val="00F174A7"/>
    <w:rsid w:val="00F201C4"/>
    <w:rsid w:val="00F2176C"/>
    <w:rsid w:val="00F21BCD"/>
    <w:rsid w:val="00F24F0D"/>
    <w:rsid w:val="00F25009"/>
    <w:rsid w:val="00F253A2"/>
    <w:rsid w:val="00F26089"/>
    <w:rsid w:val="00F30AC4"/>
    <w:rsid w:val="00F34F38"/>
    <w:rsid w:val="00F4137A"/>
    <w:rsid w:val="00F417F6"/>
    <w:rsid w:val="00F42055"/>
    <w:rsid w:val="00F43CF7"/>
    <w:rsid w:val="00F44E5A"/>
    <w:rsid w:val="00F46616"/>
    <w:rsid w:val="00F46847"/>
    <w:rsid w:val="00F4777D"/>
    <w:rsid w:val="00F50D89"/>
    <w:rsid w:val="00F511F6"/>
    <w:rsid w:val="00F54C26"/>
    <w:rsid w:val="00F56778"/>
    <w:rsid w:val="00F569D3"/>
    <w:rsid w:val="00F56F3A"/>
    <w:rsid w:val="00F57DC3"/>
    <w:rsid w:val="00F60363"/>
    <w:rsid w:val="00F62498"/>
    <w:rsid w:val="00F62963"/>
    <w:rsid w:val="00F65241"/>
    <w:rsid w:val="00F653D1"/>
    <w:rsid w:val="00F7559A"/>
    <w:rsid w:val="00F777AA"/>
    <w:rsid w:val="00F8268D"/>
    <w:rsid w:val="00F827C2"/>
    <w:rsid w:val="00F86614"/>
    <w:rsid w:val="00F877D2"/>
    <w:rsid w:val="00F90AE5"/>
    <w:rsid w:val="00F91C58"/>
    <w:rsid w:val="00F94BDC"/>
    <w:rsid w:val="00FA3409"/>
    <w:rsid w:val="00FA37BD"/>
    <w:rsid w:val="00FA5A8F"/>
    <w:rsid w:val="00FA5B09"/>
    <w:rsid w:val="00FB024F"/>
    <w:rsid w:val="00FB0DC6"/>
    <w:rsid w:val="00FB453A"/>
    <w:rsid w:val="00FB745C"/>
    <w:rsid w:val="00FC15AE"/>
    <w:rsid w:val="00FC3965"/>
    <w:rsid w:val="00FC6B75"/>
    <w:rsid w:val="00FC76D8"/>
    <w:rsid w:val="00FD0F10"/>
    <w:rsid w:val="00FD2D6E"/>
    <w:rsid w:val="00FD3745"/>
    <w:rsid w:val="00FD4D2B"/>
    <w:rsid w:val="00FD7131"/>
    <w:rsid w:val="00FE2D16"/>
    <w:rsid w:val="00FE2E5F"/>
    <w:rsid w:val="00FE4DE9"/>
    <w:rsid w:val="00FE5648"/>
    <w:rsid w:val="00FE5B54"/>
    <w:rsid w:val="00FE64BF"/>
    <w:rsid w:val="00FE66CC"/>
    <w:rsid w:val="00FE6B04"/>
    <w:rsid w:val="00FE7833"/>
    <w:rsid w:val="00FF24EB"/>
    <w:rsid w:val="00FF2F58"/>
    <w:rsid w:val="00FF437B"/>
    <w:rsid w:val="00FF5CED"/>
    <w:rsid w:val="00FF6505"/>
    <w:rsid w:val="00FF6A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5B96234"/>
  <w15:docId w15:val="{182C2AF1-EB12-4839-B166-1115F0F6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04F7"/>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04F7"/>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04F7"/>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04F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04F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04F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04F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04F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04F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701"/>
    <w:pPr>
      <w:ind w:left="720"/>
      <w:contextualSpacing/>
    </w:pPr>
  </w:style>
  <w:style w:type="paragraph" w:styleId="Header">
    <w:name w:val="header"/>
    <w:basedOn w:val="Normal"/>
    <w:link w:val="HeaderChar"/>
    <w:uiPriority w:val="99"/>
    <w:unhideWhenUsed/>
    <w:rsid w:val="003E688F"/>
    <w:pPr>
      <w:tabs>
        <w:tab w:val="center" w:pos="4680"/>
        <w:tab w:val="right" w:pos="9360"/>
      </w:tabs>
    </w:pPr>
  </w:style>
  <w:style w:type="character" w:customStyle="1" w:styleId="HeaderChar">
    <w:name w:val="Header Char"/>
    <w:basedOn w:val="DefaultParagraphFont"/>
    <w:link w:val="Header"/>
    <w:uiPriority w:val="99"/>
    <w:rsid w:val="003E688F"/>
  </w:style>
  <w:style w:type="paragraph" w:styleId="Footer">
    <w:name w:val="footer"/>
    <w:basedOn w:val="Normal"/>
    <w:link w:val="FooterChar"/>
    <w:uiPriority w:val="99"/>
    <w:unhideWhenUsed/>
    <w:rsid w:val="003E688F"/>
    <w:pPr>
      <w:tabs>
        <w:tab w:val="center" w:pos="4680"/>
        <w:tab w:val="right" w:pos="9360"/>
      </w:tabs>
    </w:pPr>
  </w:style>
  <w:style w:type="character" w:customStyle="1" w:styleId="FooterChar">
    <w:name w:val="Footer Char"/>
    <w:basedOn w:val="DefaultParagraphFont"/>
    <w:link w:val="Footer"/>
    <w:uiPriority w:val="99"/>
    <w:rsid w:val="003E688F"/>
  </w:style>
  <w:style w:type="character" w:customStyle="1" w:styleId="Heading1Char">
    <w:name w:val="Heading 1 Char"/>
    <w:basedOn w:val="DefaultParagraphFont"/>
    <w:link w:val="Heading1"/>
    <w:uiPriority w:val="9"/>
    <w:rsid w:val="009A04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04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04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04F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04F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04F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04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04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04F7"/>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672008"/>
    <w:rPr>
      <w:color w:val="0000FF" w:themeColor="hyperlink"/>
      <w:u w:val="single"/>
    </w:rPr>
  </w:style>
  <w:style w:type="character" w:styleId="FollowedHyperlink">
    <w:name w:val="FollowedHyperlink"/>
    <w:basedOn w:val="DefaultParagraphFont"/>
    <w:uiPriority w:val="99"/>
    <w:semiHidden/>
    <w:unhideWhenUsed/>
    <w:rsid w:val="00672008"/>
    <w:rPr>
      <w:color w:val="800080" w:themeColor="followedHyperlink"/>
      <w:u w:val="single"/>
    </w:rPr>
  </w:style>
  <w:style w:type="table" w:styleId="TableGrid">
    <w:name w:val="Table Grid"/>
    <w:basedOn w:val="TableNormal"/>
    <w:uiPriority w:val="59"/>
    <w:rsid w:val="004E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455E"/>
    <w:rPr>
      <w:rFonts w:ascii="Tahoma" w:hAnsi="Tahoma" w:cs="Tahoma"/>
      <w:sz w:val="16"/>
      <w:szCs w:val="16"/>
    </w:rPr>
  </w:style>
  <w:style w:type="character" w:customStyle="1" w:styleId="BalloonTextChar">
    <w:name w:val="Balloon Text Char"/>
    <w:basedOn w:val="DefaultParagraphFont"/>
    <w:link w:val="BalloonText"/>
    <w:uiPriority w:val="99"/>
    <w:semiHidden/>
    <w:rsid w:val="0021455E"/>
    <w:rPr>
      <w:rFonts w:ascii="Tahoma" w:hAnsi="Tahoma" w:cs="Tahoma"/>
      <w:sz w:val="16"/>
      <w:szCs w:val="16"/>
    </w:rPr>
  </w:style>
  <w:style w:type="paragraph" w:customStyle="1" w:styleId="AMIABodyText">
    <w:name w:val="AMIA Body Text"/>
    <w:basedOn w:val="Normal"/>
    <w:rsid w:val="00D00718"/>
    <w:pPr>
      <w:suppressAutoHyphens/>
      <w:spacing w:after="120"/>
      <w:jc w:val="both"/>
    </w:pPr>
    <w:rPr>
      <w:rFonts w:eastAsia="Times New Roman"/>
      <w:sz w:val="20"/>
      <w:szCs w:val="20"/>
    </w:rPr>
  </w:style>
  <w:style w:type="character" w:styleId="PageNumber">
    <w:name w:val="page number"/>
    <w:basedOn w:val="DefaultParagraphFont"/>
    <w:uiPriority w:val="99"/>
    <w:rsid w:val="00D00718"/>
    <w:rPr>
      <w:rFonts w:cs="Times New Roman"/>
    </w:rPr>
  </w:style>
  <w:style w:type="paragraph" w:customStyle="1" w:styleId="AMIATitle">
    <w:name w:val="AMIA Title"/>
    <w:basedOn w:val="Normal"/>
    <w:next w:val="AMIAAuthors"/>
    <w:rsid w:val="00D00718"/>
    <w:pPr>
      <w:spacing w:after="280"/>
      <w:jc w:val="center"/>
    </w:pPr>
    <w:rPr>
      <w:rFonts w:eastAsia="Times New Roman"/>
      <w:b/>
      <w:sz w:val="28"/>
      <w:szCs w:val="20"/>
    </w:rPr>
  </w:style>
  <w:style w:type="paragraph" w:customStyle="1" w:styleId="AMIAAuthors">
    <w:name w:val="AMIA Authors"/>
    <w:basedOn w:val="Normal"/>
    <w:next w:val="AMIAAffiliations"/>
    <w:rsid w:val="00D00718"/>
    <w:pPr>
      <w:jc w:val="center"/>
    </w:pPr>
    <w:rPr>
      <w:rFonts w:eastAsia="Times New Roman"/>
      <w:b/>
      <w:szCs w:val="20"/>
    </w:rPr>
  </w:style>
  <w:style w:type="paragraph" w:customStyle="1" w:styleId="AMIAAffiliations">
    <w:name w:val="AMIA Affiliations"/>
    <w:basedOn w:val="Normal"/>
    <w:rsid w:val="00D00718"/>
    <w:pPr>
      <w:spacing w:after="240"/>
      <w:jc w:val="center"/>
    </w:pPr>
    <w:rPr>
      <w:rFonts w:eastAsia="Times New Roman"/>
      <w:b/>
      <w:szCs w:val="20"/>
    </w:rPr>
  </w:style>
  <w:style w:type="paragraph" w:customStyle="1" w:styleId="AMIAAbstract">
    <w:name w:val="AMIA Abstract"/>
    <w:basedOn w:val="Normal"/>
    <w:rsid w:val="00D00718"/>
    <w:pPr>
      <w:spacing w:after="120"/>
      <w:jc w:val="both"/>
    </w:pPr>
    <w:rPr>
      <w:rFonts w:eastAsia="Times New Roman"/>
      <w:i/>
      <w:sz w:val="20"/>
      <w:szCs w:val="20"/>
    </w:rPr>
  </w:style>
  <w:style w:type="paragraph" w:customStyle="1" w:styleId="AMIAHeading">
    <w:name w:val="AMIA Heading"/>
    <w:basedOn w:val="Normal"/>
    <w:rsid w:val="00D00718"/>
    <w:pPr>
      <w:keepNext/>
      <w:spacing w:before="120" w:after="120"/>
      <w:jc w:val="both"/>
      <w:outlineLvl w:val="0"/>
    </w:pPr>
    <w:rPr>
      <w:rFonts w:eastAsia="Times New Roman"/>
      <w:b/>
      <w:sz w:val="20"/>
      <w:szCs w:val="20"/>
    </w:rPr>
  </w:style>
  <w:style w:type="paragraph" w:customStyle="1" w:styleId="AMIASuperscript">
    <w:name w:val="AMIA Superscript"/>
    <w:basedOn w:val="Normal"/>
    <w:link w:val="AMIASuperscriptChar"/>
    <w:rsid w:val="00D00718"/>
    <w:rPr>
      <w:rFonts w:eastAsia="Times New Roman"/>
      <w:sz w:val="16"/>
      <w:szCs w:val="20"/>
      <w:vertAlign w:val="superscript"/>
    </w:rPr>
  </w:style>
  <w:style w:type="paragraph" w:customStyle="1" w:styleId="AMIAAbstractHeading">
    <w:name w:val="AMIA Abstract Heading"/>
    <w:basedOn w:val="AMIAHeading"/>
    <w:rsid w:val="00D00718"/>
    <w:pPr>
      <w:spacing w:before="0"/>
    </w:pPr>
  </w:style>
  <w:style w:type="paragraph" w:customStyle="1" w:styleId="AMIAReferenceHeading">
    <w:name w:val="AMIA Reference Heading"/>
    <w:basedOn w:val="AMIAHeading"/>
    <w:rsid w:val="00D00718"/>
    <w:pPr>
      <w:jc w:val="center"/>
    </w:pPr>
  </w:style>
  <w:style w:type="paragraph" w:customStyle="1" w:styleId="AMIAReference">
    <w:name w:val="AMIA Reference"/>
    <w:basedOn w:val="Normal"/>
    <w:rsid w:val="00D00718"/>
    <w:pPr>
      <w:numPr>
        <w:numId w:val="8"/>
      </w:numPr>
      <w:jc w:val="both"/>
    </w:pPr>
    <w:rPr>
      <w:rFonts w:eastAsia="Times New Roman"/>
      <w:sz w:val="20"/>
      <w:szCs w:val="20"/>
    </w:rPr>
  </w:style>
  <w:style w:type="character" w:customStyle="1" w:styleId="AMIASuperscriptChar">
    <w:name w:val="AMIA Superscript Char"/>
    <w:basedOn w:val="DefaultParagraphFont"/>
    <w:link w:val="AMIASuperscript"/>
    <w:locked/>
    <w:rsid w:val="00D00718"/>
    <w:rPr>
      <w:rFonts w:eastAsia="Times New Roman"/>
      <w:sz w:val="16"/>
      <w:szCs w:val="20"/>
      <w:vertAlign w:val="superscript"/>
    </w:rPr>
  </w:style>
  <w:style w:type="paragraph" w:styleId="NormalWeb">
    <w:name w:val="Normal (Web)"/>
    <w:basedOn w:val="Normal"/>
    <w:uiPriority w:val="99"/>
    <w:unhideWhenUsed/>
    <w:rsid w:val="00D00718"/>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B354FD"/>
    <w:rPr>
      <w:sz w:val="20"/>
      <w:szCs w:val="20"/>
    </w:rPr>
  </w:style>
  <w:style w:type="character" w:customStyle="1" w:styleId="FootnoteTextChar">
    <w:name w:val="Footnote Text Char"/>
    <w:basedOn w:val="DefaultParagraphFont"/>
    <w:link w:val="FootnoteText"/>
    <w:uiPriority w:val="99"/>
    <w:semiHidden/>
    <w:rsid w:val="00B354FD"/>
    <w:rPr>
      <w:sz w:val="20"/>
      <w:szCs w:val="20"/>
    </w:rPr>
  </w:style>
  <w:style w:type="character" w:styleId="FootnoteReference">
    <w:name w:val="footnote reference"/>
    <w:basedOn w:val="DefaultParagraphFont"/>
    <w:uiPriority w:val="99"/>
    <w:semiHidden/>
    <w:unhideWhenUsed/>
    <w:rsid w:val="00B354FD"/>
    <w:rPr>
      <w:vertAlign w:val="superscript"/>
    </w:rPr>
  </w:style>
  <w:style w:type="character" w:styleId="CommentReference">
    <w:name w:val="annotation reference"/>
    <w:basedOn w:val="DefaultParagraphFont"/>
    <w:unhideWhenUsed/>
    <w:rsid w:val="000C3C3B"/>
    <w:rPr>
      <w:sz w:val="18"/>
      <w:szCs w:val="18"/>
    </w:rPr>
  </w:style>
  <w:style w:type="paragraph" w:styleId="CommentText">
    <w:name w:val="annotation text"/>
    <w:basedOn w:val="Normal"/>
    <w:link w:val="CommentTextChar"/>
    <w:unhideWhenUsed/>
    <w:rsid w:val="000C3C3B"/>
  </w:style>
  <w:style w:type="character" w:customStyle="1" w:styleId="CommentTextChar">
    <w:name w:val="Comment Text Char"/>
    <w:basedOn w:val="DefaultParagraphFont"/>
    <w:link w:val="CommentText"/>
    <w:rsid w:val="000C3C3B"/>
  </w:style>
  <w:style w:type="paragraph" w:styleId="CommentSubject">
    <w:name w:val="annotation subject"/>
    <w:basedOn w:val="CommentText"/>
    <w:next w:val="CommentText"/>
    <w:link w:val="CommentSubjectChar"/>
    <w:uiPriority w:val="99"/>
    <w:semiHidden/>
    <w:unhideWhenUsed/>
    <w:rsid w:val="000C3C3B"/>
    <w:rPr>
      <w:b/>
      <w:bCs/>
      <w:sz w:val="20"/>
      <w:szCs w:val="20"/>
    </w:rPr>
  </w:style>
  <w:style w:type="character" w:customStyle="1" w:styleId="CommentSubjectChar">
    <w:name w:val="Comment Subject Char"/>
    <w:basedOn w:val="CommentTextChar"/>
    <w:link w:val="CommentSubject"/>
    <w:uiPriority w:val="99"/>
    <w:semiHidden/>
    <w:rsid w:val="000C3C3B"/>
    <w:rPr>
      <w:b/>
      <w:bCs/>
      <w:sz w:val="20"/>
      <w:szCs w:val="20"/>
    </w:rPr>
  </w:style>
  <w:style w:type="table" w:styleId="LightShading-Accent1">
    <w:name w:val="Light Shading Accent 1"/>
    <w:basedOn w:val="TableNormal"/>
    <w:uiPriority w:val="60"/>
    <w:rsid w:val="00F7559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9F10B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EC2C68"/>
  </w:style>
  <w:style w:type="character" w:customStyle="1" w:styleId="apple-converted-space">
    <w:name w:val="apple-converted-space"/>
    <w:basedOn w:val="DefaultParagraphFont"/>
    <w:rsid w:val="00BC58A4"/>
  </w:style>
  <w:style w:type="character" w:customStyle="1" w:styleId="il">
    <w:name w:val="il"/>
    <w:basedOn w:val="DefaultParagraphFont"/>
    <w:rsid w:val="00BC58A4"/>
  </w:style>
  <w:style w:type="table" w:styleId="LightGrid-Accent1">
    <w:name w:val="Light Grid Accent 1"/>
    <w:basedOn w:val="TableNormal"/>
    <w:uiPriority w:val="62"/>
    <w:rsid w:val="00C96E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6C390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Heading">
    <w:name w:val="TOC Heading"/>
    <w:basedOn w:val="Heading1"/>
    <w:next w:val="Normal"/>
    <w:uiPriority w:val="39"/>
    <w:semiHidden/>
    <w:unhideWhenUsed/>
    <w:qFormat/>
    <w:rsid w:val="00AA52B6"/>
    <w:pPr>
      <w:numPr>
        <w:numId w:val="0"/>
      </w:numPr>
      <w:spacing w:line="276" w:lineRule="auto"/>
      <w:outlineLvl w:val="9"/>
    </w:pPr>
    <w:rPr>
      <w:lang w:eastAsia="ja-JP"/>
    </w:rPr>
  </w:style>
  <w:style w:type="paragraph" w:styleId="TableofFigures">
    <w:name w:val="table of figures"/>
    <w:basedOn w:val="Normal"/>
    <w:next w:val="Normal"/>
    <w:uiPriority w:val="99"/>
    <w:semiHidden/>
    <w:unhideWhenUsed/>
    <w:rsid w:val="00AA52B6"/>
    <w:rPr>
      <w:rFonts w:asciiTheme="majorHAnsi" w:hAnsiTheme="majorHAnsi"/>
    </w:rPr>
  </w:style>
  <w:style w:type="paragraph" w:styleId="TOC1">
    <w:name w:val="toc 1"/>
    <w:basedOn w:val="Normal"/>
    <w:next w:val="Normal"/>
    <w:autoRedefine/>
    <w:uiPriority w:val="39"/>
    <w:unhideWhenUsed/>
    <w:rsid w:val="00AA52B6"/>
    <w:pPr>
      <w:spacing w:after="100"/>
    </w:pPr>
  </w:style>
  <w:style w:type="paragraph" w:styleId="TOC2">
    <w:name w:val="toc 2"/>
    <w:basedOn w:val="Normal"/>
    <w:next w:val="Normal"/>
    <w:autoRedefine/>
    <w:uiPriority w:val="39"/>
    <w:unhideWhenUsed/>
    <w:rsid w:val="00AA52B6"/>
    <w:pPr>
      <w:spacing w:after="100"/>
      <w:ind w:left="240"/>
    </w:pPr>
  </w:style>
  <w:style w:type="character" w:customStyle="1" w:styleId="aqj">
    <w:name w:val="aqj"/>
    <w:basedOn w:val="DefaultParagraphFont"/>
    <w:rsid w:val="00F47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751991">
      <w:bodyDiv w:val="1"/>
      <w:marLeft w:val="0"/>
      <w:marRight w:val="0"/>
      <w:marTop w:val="0"/>
      <w:marBottom w:val="0"/>
      <w:divBdr>
        <w:top w:val="none" w:sz="0" w:space="0" w:color="auto"/>
        <w:left w:val="none" w:sz="0" w:space="0" w:color="auto"/>
        <w:bottom w:val="none" w:sz="0" w:space="0" w:color="auto"/>
        <w:right w:val="none" w:sz="0" w:space="0" w:color="auto"/>
      </w:divBdr>
    </w:div>
    <w:div w:id="580406087">
      <w:bodyDiv w:val="1"/>
      <w:marLeft w:val="0"/>
      <w:marRight w:val="0"/>
      <w:marTop w:val="0"/>
      <w:marBottom w:val="0"/>
      <w:divBdr>
        <w:top w:val="none" w:sz="0" w:space="0" w:color="auto"/>
        <w:left w:val="none" w:sz="0" w:space="0" w:color="auto"/>
        <w:bottom w:val="none" w:sz="0" w:space="0" w:color="auto"/>
        <w:right w:val="none" w:sz="0" w:space="0" w:color="auto"/>
      </w:divBdr>
    </w:div>
    <w:div w:id="909658133">
      <w:bodyDiv w:val="1"/>
      <w:marLeft w:val="0"/>
      <w:marRight w:val="0"/>
      <w:marTop w:val="0"/>
      <w:marBottom w:val="0"/>
      <w:divBdr>
        <w:top w:val="none" w:sz="0" w:space="0" w:color="auto"/>
        <w:left w:val="none" w:sz="0" w:space="0" w:color="auto"/>
        <w:bottom w:val="none" w:sz="0" w:space="0" w:color="auto"/>
        <w:right w:val="none" w:sz="0" w:space="0" w:color="auto"/>
      </w:divBdr>
    </w:div>
    <w:div w:id="192337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who.int/goe/publications/en/" TargetMode="External"/><Relationship Id="rId26" Type="http://schemas.openxmlformats.org/officeDocument/2006/relationships/hyperlink" Target="http://goo.gl/NV1RQ" TargetMode="External"/><Relationship Id="rId39" Type="http://schemas.openxmlformats.org/officeDocument/2006/relationships/hyperlink" Target="http://sequoiaproject.org/ehealth-exchange/onboarding/dursa/" TargetMode="External"/><Relationship Id="rId21" Type="http://schemas.openxmlformats.org/officeDocument/2006/relationships/image" Target="media/image2.png"/><Relationship Id="rId34" Type="http://schemas.openxmlformats.org/officeDocument/2006/relationships/hyperlink" Target="https://www.healthit.gov/standards-advisory" TargetMode="External"/><Relationship Id="rId42" Type="http://schemas.openxmlformats.org/officeDocument/2006/relationships/hyperlink" Target="http://sequoiaproject.org/" TargetMode="External"/><Relationship Id="rId47" Type="http://schemas.openxmlformats.org/officeDocument/2006/relationships/hyperlink" Target="http://phii.org/resources/view/387/taking-care-business-second-edition" TargetMode="External"/><Relationship Id="rId50" Type="http://schemas.openxmlformats.org/officeDocument/2006/relationships/hyperlink" Target="http://digitalprinciples.org/" TargetMode="External"/><Relationship Id="rId55" Type="http://schemas.openxmlformats.org/officeDocument/2006/relationships/hyperlink" Target="mailto:evdbordersil@gmail.com" TargetMode="External"/><Relationship Id="rId63" Type="http://schemas.openxmlformats.org/officeDocument/2006/relationships/hyperlink" Target="mailto:abubakarrkamara1975.ak28@gmail.com" TargetMode="External"/><Relationship Id="rId68" Type="http://schemas.openxmlformats.org/officeDocument/2006/relationships/image" Target="media/image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goo.gl/FlER4" TargetMode="External"/><Relationship Id="rId11" Type="http://schemas.openxmlformats.org/officeDocument/2006/relationships/footer" Target="footer1.xml"/><Relationship Id="rId24" Type="http://schemas.openxmlformats.org/officeDocument/2006/relationships/hyperlink" Target="http://goo.gl/rTfUl" TargetMode="External"/><Relationship Id="rId32" Type="http://schemas.openxmlformats.org/officeDocument/2006/relationships/hyperlink" Target="http://goo.gl/b6SRmH" TargetMode="External"/><Relationship Id="rId37" Type="http://schemas.openxmlformats.org/officeDocument/2006/relationships/hyperlink" Target="http://www.who.int/goe/data/en/" TargetMode="External"/><Relationship Id="rId40" Type="http://schemas.openxmlformats.org/officeDocument/2006/relationships/hyperlink" Target="http://sequoiaproject.org/wp-content/uploads/2015/03/2011-05-dursa-policy-assumptions-summary.pdf" TargetMode="External"/><Relationship Id="rId45" Type="http://schemas.openxmlformats.org/officeDocument/2006/relationships/hyperlink" Target="http://sequoiaproject.org/wp-content/uploads/2015/12/Query-Based-Document-Exchange-Implementation-Guide-Approved-11-5-20151.pdf" TargetMode="External"/><Relationship Id="rId53" Type="http://schemas.openxmlformats.org/officeDocument/2006/relationships/oleObject" Target="embeddings/oleObject1.bin"/><Relationship Id="rId58" Type="http://schemas.openxmlformats.org/officeDocument/2006/relationships/hyperlink" Target="mailto:draguibou@gmail.com" TargetMode="External"/><Relationship Id="rId66" Type="http://schemas.openxmlformats.org/officeDocument/2006/relationships/image" Target="media/image6.png"/><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goo.gl/CyrQZt" TargetMode="External"/><Relationship Id="rId28" Type="http://schemas.openxmlformats.org/officeDocument/2006/relationships/hyperlink" Target="http://goo.gl/BYWLHV" TargetMode="External"/><Relationship Id="rId36" Type="http://schemas.openxmlformats.org/officeDocument/2006/relationships/hyperlink" Target="http://www.who.int/goe/data/en/" TargetMode="External"/><Relationship Id="rId49" Type="http://schemas.openxmlformats.org/officeDocument/2006/relationships/hyperlink" Target="http://data.worldbank.org/income-level/LMY" TargetMode="External"/><Relationship Id="rId57" Type="http://schemas.openxmlformats.org/officeDocument/2006/relationships/hyperlink" Target="mailto:conesarata@gmail.com" TargetMode="External"/><Relationship Id="rId61" Type="http://schemas.openxmlformats.org/officeDocument/2006/relationships/hyperlink" Target="mailto:mdkoulibaly@yahoo.fr" TargetMode="External"/><Relationship Id="rId10" Type="http://schemas.openxmlformats.org/officeDocument/2006/relationships/header" Target="header2.xml"/><Relationship Id="rId19" Type="http://schemas.openxmlformats.org/officeDocument/2006/relationships/hyperlink" Target="http://www.aehin.org/" TargetMode="External"/><Relationship Id="rId31" Type="http://schemas.openxmlformats.org/officeDocument/2006/relationships/hyperlink" Target="http://goo.gl/grulj" TargetMode="External"/><Relationship Id="rId44" Type="http://schemas.openxmlformats.org/officeDocument/2006/relationships/hyperlink" Target="http://sequoiaproject.org/wp-content/uploads/2015/12/Carequality-Connected-Agreement-CCA-Approved-11-5-20151.pdf" TargetMode="External"/><Relationship Id="rId52" Type="http://schemas.openxmlformats.org/officeDocument/2006/relationships/image" Target="media/image3.emf"/><Relationship Id="rId60" Type="http://schemas.openxmlformats.org/officeDocument/2006/relationships/hyperlink" Target="mailto:aissatadaouda90@gmail.com" TargetMode="External"/><Relationship Id="rId65" Type="http://schemas.openxmlformats.org/officeDocument/2006/relationships/image" Target="media/image5.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goo.gl/nGJvM" TargetMode="External"/><Relationship Id="rId27" Type="http://schemas.openxmlformats.org/officeDocument/2006/relationships/hyperlink" Target="http://goo.gl/sG97J" TargetMode="External"/><Relationship Id="rId30" Type="http://schemas.openxmlformats.org/officeDocument/2006/relationships/hyperlink" Target="http://goo.gl/Cdcao" TargetMode="External"/><Relationship Id="rId35" Type="http://schemas.openxmlformats.org/officeDocument/2006/relationships/hyperlink" Target="http://www.kehia.org/" TargetMode="External"/><Relationship Id="rId43" Type="http://schemas.openxmlformats.org/officeDocument/2006/relationships/hyperlink" Target="http://sequoiaproject.org/wp-content/uploads/2015/01/Carequality_Principles-of-Trust_Final_Carequality-template.pdf" TargetMode="External"/><Relationship Id="rId48" Type="http://schemas.openxmlformats.org/officeDocument/2006/relationships/hyperlink" Target="http://www.himss.org/resourcelibrary/TopicList.aspx?MetaDataID=1246" TargetMode="External"/><Relationship Id="rId56" Type="http://schemas.openxmlformats.org/officeDocument/2006/relationships/hyperlink" Target="mailto:ebolabordergui@gmail.com" TargetMode="External"/><Relationship Id="rId64" Type="http://schemas.openxmlformats.org/officeDocument/2006/relationships/image" Target="media/image4.png"/><Relationship Id="rId69" Type="http://schemas.openxmlformats.org/officeDocument/2006/relationships/hyperlink" Target="http://www.who.int/goe/publications/en/" TargetMode="External"/><Relationship Id="rId8" Type="http://schemas.openxmlformats.org/officeDocument/2006/relationships/image" Target="media/image1.png"/><Relationship Id="rId51" Type="http://schemas.openxmlformats.org/officeDocument/2006/relationships/hyperlink" Target="http://www.juliaroyall.com"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ohie.org" TargetMode="External"/><Relationship Id="rId25" Type="http://schemas.openxmlformats.org/officeDocument/2006/relationships/hyperlink" Target="http://goo.gl/fgxSB" TargetMode="External"/><Relationship Id="rId33" Type="http://schemas.openxmlformats.org/officeDocument/2006/relationships/hyperlink" Target="http://goo.gl/ub5MT" TargetMode="External"/><Relationship Id="rId38" Type="http://schemas.openxmlformats.org/officeDocument/2006/relationships/hyperlink" Target="http://sequoiaproject.org/ehealth-exchange/about/" TargetMode="External"/><Relationship Id="rId46" Type="http://schemas.openxmlformats.org/officeDocument/2006/relationships/hyperlink" Target="http://www.phii.org/ehrtoolkit/introduction" TargetMode="External"/><Relationship Id="rId59" Type="http://schemas.openxmlformats.org/officeDocument/2006/relationships/hyperlink" Target="mailto:monembo7@gmail.com" TargetMode="External"/><Relationship Id="rId67" Type="http://schemas.openxmlformats.org/officeDocument/2006/relationships/image" Target="media/image7.png"/><Relationship Id="rId20" Type="http://schemas.openxmlformats.org/officeDocument/2006/relationships/hyperlink" Target="http://digitalprinciples.org/" TargetMode="External"/><Relationship Id="rId41" Type="http://schemas.openxmlformats.org/officeDocument/2006/relationships/hyperlink" Target="http://sequoiaproject.org/carequality/what-we-do/" TargetMode="External"/><Relationship Id="rId54" Type="http://schemas.openxmlformats.org/officeDocument/2006/relationships/hyperlink" Target="mailto:evdbordersil@gmail.com" TargetMode="External"/><Relationship Id="rId62" Type="http://schemas.openxmlformats.org/officeDocument/2006/relationships/hyperlink" Target="mailto:gtwahirwa@gmail.com" TargetMode="External"/><Relationship Id="rId70" Type="http://schemas.openxmlformats.org/officeDocument/2006/relationships/header" Target="header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goe/policies/countrie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660CE-2329-48A5-8B23-CCE019A1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22154</Words>
  <Characters>126278</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148136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Wu</dc:creator>
  <cp:lastModifiedBy>Welch, Lisa</cp:lastModifiedBy>
  <cp:revision>2</cp:revision>
  <cp:lastPrinted>2016-09-12T18:45:00Z</cp:lastPrinted>
  <dcterms:created xsi:type="dcterms:W3CDTF">2016-11-09T20:22:00Z</dcterms:created>
  <dcterms:modified xsi:type="dcterms:W3CDTF">2016-11-09T20:22:00Z</dcterms:modified>
</cp:coreProperties>
</file>